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A4B1" w14:textId="77777777" w:rsidR="009C771F" w:rsidRDefault="009C771F" w:rsidP="001141D7">
      <w:pPr>
        <w:pStyle w:val="Title"/>
        <w:rPr>
          <w:rFonts w:eastAsia="Aptos"/>
        </w:rPr>
      </w:pPr>
    </w:p>
    <w:p w14:paraId="28B7607B" w14:textId="67C0DD35" w:rsidR="001141D7" w:rsidRPr="003D0040" w:rsidRDefault="001141D7" w:rsidP="00BF7883">
      <w:pPr>
        <w:pStyle w:val="Heading1"/>
        <w:rPr>
          <w:rFonts w:eastAsia="Aptos"/>
        </w:rPr>
      </w:pPr>
      <w:r w:rsidRPr="003D0040">
        <w:t xml:space="preserve">Anaesthetic </w:t>
      </w:r>
      <w:r w:rsidR="00694557">
        <w:t>t</w:t>
      </w:r>
      <w:r w:rsidRPr="003D0040">
        <w:t xml:space="preserve">echnicians </w:t>
      </w:r>
      <w:r w:rsidR="00483A5E">
        <w:rPr>
          <w:rFonts w:eastAsia="Aptos"/>
        </w:rPr>
        <w:t>and</w:t>
      </w:r>
      <w:r w:rsidRPr="003D0040">
        <w:rPr>
          <w:rFonts w:eastAsia="Aptos"/>
        </w:rPr>
        <w:t xml:space="preserve"> </w:t>
      </w:r>
      <w:r w:rsidR="001339E6">
        <w:rPr>
          <w:rFonts w:eastAsia="Aptos"/>
        </w:rPr>
        <w:t>s</w:t>
      </w:r>
      <w:r w:rsidRPr="003D0040">
        <w:rPr>
          <w:rFonts w:eastAsia="Aptos"/>
        </w:rPr>
        <w:t xml:space="preserve">afe </w:t>
      </w:r>
      <w:r w:rsidR="001339E6">
        <w:rPr>
          <w:rFonts w:eastAsia="Aptos"/>
        </w:rPr>
        <w:t>s</w:t>
      </w:r>
      <w:r w:rsidRPr="003D0040">
        <w:rPr>
          <w:rFonts w:eastAsia="Aptos"/>
        </w:rPr>
        <w:t>edation</w:t>
      </w:r>
      <w:r w:rsidR="00027F59">
        <w:rPr>
          <w:rFonts w:eastAsia="Aptos"/>
        </w:rPr>
        <w:t xml:space="preserve"> </w:t>
      </w:r>
    </w:p>
    <w:p w14:paraId="5A2B4EC9" w14:textId="48E2DA03" w:rsidR="001141D7" w:rsidRPr="00B26BA7" w:rsidRDefault="001141D7" w:rsidP="00BF7883">
      <w:pPr>
        <w:pStyle w:val="Heading2"/>
      </w:pPr>
      <w:r w:rsidRPr="00F177D3">
        <w:t xml:space="preserve">Sedation </w:t>
      </w:r>
      <w:r w:rsidR="00694557">
        <w:t>s</w:t>
      </w:r>
      <w:r w:rsidR="00064584">
        <w:t>tandard</w:t>
      </w:r>
      <w:r w:rsidRPr="00B26BA7">
        <w:t xml:space="preserve"> for anaesthetic technicians</w:t>
      </w:r>
    </w:p>
    <w:p w14:paraId="655DB7A0" w14:textId="77777777" w:rsidR="005619F7" w:rsidRPr="003D0040" w:rsidRDefault="005619F7" w:rsidP="003D004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1141D7" w14:paraId="7103553D" w14:textId="77777777" w:rsidTr="00BF7883">
        <w:trPr>
          <w:trHeight w:val="374"/>
        </w:trPr>
        <w:tc>
          <w:tcPr>
            <w:tcW w:w="1666" w:type="pct"/>
            <w:shd w:val="clear" w:color="auto" w:fill="AD2B50"/>
            <w:vAlign w:val="center"/>
          </w:tcPr>
          <w:p w14:paraId="7979E66A" w14:textId="51FBABA7" w:rsidR="001141D7" w:rsidRPr="00BF7883" w:rsidRDefault="001141D7" w:rsidP="005619F7">
            <w:pPr>
              <w:rPr>
                <w:rFonts w:eastAsia="Aptos Display"/>
                <w:b/>
                <w:color w:val="FFFFFF" w:themeColor="background1"/>
                <w:szCs w:val="22"/>
              </w:rPr>
            </w:pPr>
            <w:r w:rsidRPr="00BF7883">
              <w:rPr>
                <w:rFonts w:eastAsia="Aptos Display"/>
                <w:b/>
                <w:color w:val="FFFFFF" w:themeColor="background1"/>
                <w:szCs w:val="22"/>
              </w:rPr>
              <w:t>Version</w:t>
            </w:r>
          </w:p>
        </w:tc>
        <w:tc>
          <w:tcPr>
            <w:tcW w:w="1667" w:type="pct"/>
            <w:shd w:val="clear" w:color="auto" w:fill="AD2B50"/>
            <w:vAlign w:val="center"/>
          </w:tcPr>
          <w:p w14:paraId="54897BF3" w14:textId="1161B28F" w:rsidR="001141D7" w:rsidRPr="00BF7883" w:rsidRDefault="001141D7" w:rsidP="005619F7">
            <w:pPr>
              <w:rPr>
                <w:rFonts w:eastAsia="Aptos Display"/>
                <w:b/>
                <w:color w:val="FFFFFF" w:themeColor="background1"/>
                <w:szCs w:val="22"/>
              </w:rPr>
            </w:pPr>
            <w:r w:rsidRPr="00BF7883">
              <w:rPr>
                <w:rFonts w:eastAsia="Aptos Display"/>
                <w:b/>
                <w:color w:val="FFFFFF" w:themeColor="background1"/>
                <w:szCs w:val="22"/>
              </w:rPr>
              <w:t>Date</w:t>
            </w:r>
          </w:p>
        </w:tc>
        <w:tc>
          <w:tcPr>
            <w:tcW w:w="1667" w:type="pct"/>
            <w:shd w:val="clear" w:color="auto" w:fill="AD2B50"/>
            <w:vAlign w:val="center"/>
          </w:tcPr>
          <w:p w14:paraId="3964F477" w14:textId="094EFE01" w:rsidR="001141D7" w:rsidRPr="00BF7883" w:rsidRDefault="001141D7" w:rsidP="005619F7">
            <w:pPr>
              <w:rPr>
                <w:rFonts w:eastAsia="Aptos Display"/>
                <w:b/>
                <w:color w:val="FFFFFF" w:themeColor="background1"/>
                <w:szCs w:val="22"/>
              </w:rPr>
            </w:pPr>
            <w:r w:rsidRPr="00BF7883">
              <w:rPr>
                <w:rFonts w:eastAsia="Aptos Display"/>
                <w:b/>
                <w:color w:val="FFFFFF" w:themeColor="background1"/>
                <w:szCs w:val="22"/>
              </w:rPr>
              <w:t>Approved by</w:t>
            </w:r>
          </w:p>
        </w:tc>
      </w:tr>
      <w:tr w:rsidR="001141D7" w14:paraId="04362DFD" w14:textId="77777777" w:rsidTr="00BF7883">
        <w:trPr>
          <w:trHeight w:val="475"/>
        </w:trPr>
        <w:tc>
          <w:tcPr>
            <w:tcW w:w="1666" w:type="pct"/>
            <w:vAlign w:val="center"/>
          </w:tcPr>
          <w:p w14:paraId="27EA0776" w14:textId="714D33C7" w:rsidR="001141D7" w:rsidRPr="00BF7883" w:rsidRDefault="001141D7" w:rsidP="005619F7">
            <w:pPr>
              <w:rPr>
                <w:rFonts w:eastAsia="Aptos Display"/>
                <w:szCs w:val="22"/>
              </w:rPr>
            </w:pPr>
            <w:r w:rsidRPr="00BF7883">
              <w:rPr>
                <w:rFonts w:eastAsia="Aptos Display"/>
                <w:szCs w:val="22"/>
              </w:rPr>
              <w:t>One</w:t>
            </w:r>
          </w:p>
        </w:tc>
        <w:tc>
          <w:tcPr>
            <w:tcW w:w="1667" w:type="pct"/>
            <w:vAlign w:val="center"/>
          </w:tcPr>
          <w:p w14:paraId="582D0EE9" w14:textId="38DB0624" w:rsidR="001141D7" w:rsidRPr="00BF7883" w:rsidRDefault="001141D7" w:rsidP="005619F7">
            <w:pPr>
              <w:rPr>
                <w:rFonts w:eastAsia="Aptos" w:cstheme="majorBidi"/>
                <w:szCs w:val="22"/>
              </w:rPr>
            </w:pPr>
            <w:r w:rsidRPr="00BF7883">
              <w:rPr>
                <w:rFonts w:eastAsia="Aptos"/>
                <w:szCs w:val="22"/>
              </w:rPr>
              <w:t>October 2021</w:t>
            </w:r>
          </w:p>
        </w:tc>
        <w:tc>
          <w:tcPr>
            <w:tcW w:w="1667" w:type="pct"/>
            <w:vAlign w:val="center"/>
          </w:tcPr>
          <w:p w14:paraId="53A1E0B4" w14:textId="0374C10B" w:rsidR="001141D7" w:rsidRPr="00BF7883" w:rsidRDefault="001141D7" w:rsidP="005619F7">
            <w:pPr>
              <w:rPr>
                <w:rFonts w:eastAsia="Aptos Display"/>
                <w:szCs w:val="22"/>
              </w:rPr>
            </w:pPr>
            <w:r w:rsidRPr="00BF7883">
              <w:rPr>
                <w:rFonts w:eastAsia="Aptos Display"/>
                <w:szCs w:val="22"/>
              </w:rPr>
              <w:t>MSC</w:t>
            </w:r>
          </w:p>
        </w:tc>
      </w:tr>
      <w:tr w:rsidR="001141D7" w14:paraId="1C15FB0A" w14:textId="77777777" w:rsidTr="00AC2B75">
        <w:trPr>
          <w:trHeight w:val="383"/>
        </w:trPr>
        <w:tc>
          <w:tcPr>
            <w:tcW w:w="1666" w:type="pct"/>
            <w:shd w:val="clear" w:color="auto" w:fill="FBE1E8"/>
            <w:vAlign w:val="center"/>
          </w:tcPr>
          <w:p w14:paraId="2D8EF929" w14:textId="50C9A7B9" w:rsidR="001141D7" w:rsidRPr="00BF7883" w:rsidRDefault="001141D7" w:rsidP="005619F7">
            <w:pPr>
              <w:rPr>
                <w:rFonts w:eastAsia="Aptos Display"/>
                <w:szCs w:val="22"/>
              </w:rPr>
            </w:pPr>
            <w:r w:rsidRPr="00BF7883">
              <w:rPr>
                <w:rFonts w:eastAsia="Aptos Display"/>
                <w:szCs w:val="22"/>
              </w:rPr>
              <w:t>Two</w:t>
            </w:r>
          </w:p>
        </w:tc>
        <w:tc>
          <w:tcPr>
            <w:tcW w:w="1667" w:type="pct"/>
            <w:shd w:val="clear" w:color="auto" w:fill="FBE1E8"/>
            <w:vAlign w:val="center"/>
          </w:tcPr>
          <w:p w14:paraId="60F960DA" w14:textId="3E42D696" w:rsidR="001141D7" w:rsidRPr="00BF7883" w:rsidRDefault="001141D7" w:rsidP="005619F7">
            <w:pPr>
              <w:rPr>
                <w:rFonts w:eastAsia="Aptos Display"/>
                <w:szCs w:val="22"/>
              </w:rPr>
            </w:pPr>
            <w:r w:rsidRPr="00BF7883">
              <w:rPr>
                <w:rFonts w:eastAsia="Aptos"/>
                <w:szCs w:val="22"/>
              </w:rPr>
              <w:t>June 2025</w:t>
            </w:r>
          </w:p>
        </w:tc>
        <w:tc>
          <w:tcPr>
            <w:tcW w:w="1667" w:type="pct"/>
            <w:shd w:val="clear" w:color="auto" w:fill="FBE1E8"/>
            <w:vAlign w:val="center"/>
          </w:tcPr>
          <w:p w14:paraId="5A05658F" w14:textId="2CB3BA4E" w:rsidR="001141D7" w:rsidRPr="00BF7883" w:rsidRDefault="001141D7" w:rsidP="005619F7">
            <w:pPr>
              <w:rPr>
                <w:rFonts w:eastAsia="Aptos Display"/>
                <w:szCs w:val="22"/>
              </w:rPr>
            </w:pPr>
          </w:p>
        </w:tc>
      </w:tr>
    </w:tbl>
    <w:p w14:paraId="41F5ECE7" w14:textId="77777777" w:rsidR="00AB5292" w:rsidRPr="00AC2B75" w:rsidRDefault="00AB5292" w:rsidP="00AC2B75"/>
    <w:p w14:paraId="643A5048" w14:textId="09B1D5C3" w:rsidR="00AB5292" w:rsidRPr="00694557" w:rsidRDefault="00AB5292" w:rsidP="00694557">
      <w:pPr>
        <w:pStyle w:val="Heading1"/>
        <w:spacing w:before="360" w:after="120"/>
        <w:rPr>
          <w:b w:val="0"/>
          <w:bCs/>
          <w:color w:val="auto"/>
          <w:sz w:val="40"/>
        </w:rPr>
      </w:pPr>
      <w:r w:rsidRPr="00694557">
        <w:rPr>
          <w:b w:val="0"/>
          <w:bCs/>
          <w:color w:val="auto"/>
          <w:sz w:val="40"/>
        </w:rPr>
        <w:t>Introduction</w:t>
      </w:r>
    </w:p>
    <w:p w14:paraId="41311AB4" w14:textId="0F75F5A6" w:rsidR="00AB347B" w:rsidRDefault="180A978A" w:rsidP="00694557">
      <w:pPr>
        <w:spacing w:after="0" w:line="240" w:lineRule="auto"/>
        <w:rPr>
          <w:rFonts w:ascii="Aptos" w:eastAsia="Aptos" w:hAnsi="Aptos" w:cs="Aptos"/>
        </w:rPr>
      </w:pPr>
      <w:r w:rsidRPr="005D42BE">
        <w:rPr>
          <w:rFonts w:ascii="Aptos" w:eastAsia="Aptos" w:hAnsi="Aptos" w:cs="Aptos"/>
        </w:rPr>
        <w:t xml:space="preserve">The </w:t>
      </w:r>
      <w:r w:rsidR="005E12ED">
        <w:rPr>
          <w:rFonts w:ascii="Aptos" w:eastAsia="Aptos" w:hAnsi="Aptos" w:cs="Aptos"/>
        </w:rPr>
        <w:t>a</w:t>
      </w:r>
      <w:r w:rsidRPr="005D42BE">
        <w:rPr>
          <w:rFonts w:ascii="Aptos" w:eastAsia="Aptos" w:hAnsi="Aptos" w:cs="Aptos"/>
        </w:rPr>
        <w:t xml:space="preserve">naesthetic technician scope of practice allows for flexible work practices including </w:t>
      </w:r>
      <w:r w:rsidR="00F22FF2">
        <w:rPr>
          <w:rFonts w:ascii="Aptos" w:eastAsia="Aptos" w:hAnsi="Aptos" w:cs="Aptos"/>
        </w:rPr>
        <w:t>involvement with</w:t>
      </w:r>
      <w:r w:rsidRPr="005D42BE">
        <w:rPr>
          <w:rFonts w:ascii="Aptos" w:eastAsia="Aptos" w:hAnsi="Aptos" w:cs="Aptos"/>
        </w:rPr>
        <w:t xml:space="preserve"> the sedation of patients. </w:t>
      </w:r>
      <w:r w:rsidR="008D4103">
        <w:rPr>
          <w:rFonts w:ascii="Aptos" w:eastAsia="Aptos" w:hAnsi="Aptos" w:cs="Aptos"/>
        </w:rPr>
        <w:t>Anaesthetic technicians p</w:t>
      </w:r>
      <w:r w:rsidR="008D4103" w:rsidRPr="00442015">
        <w:rPr>
          <w:rFonts w:ascii="Aptos" w:eastAsia="Aptos" w:hAnsi="Aptos" w:cs="Aptos"/>
        </w:rPr>
        <w:t>rovide support to the prescribing practitioner and collaborate and work alongside other health professionals during peri-operative, interventional and investigative procedures</w:t>
      </w:r>
      <w:r w:rsidR="008D4103">
        <w:rPr>
          <w:rFonts w:ascii="Aptos" w:eastAsia="Aptos" w:hAnsi="Aptos" w:cs="Aptos"/>
        </w:rPr>
        <w:t xml:space="preserve"> involving sedation. </w:t>
      </w:r>
    </w:p>
    <w:p w14:paraId="04527105" w14:textId="77777777" w:rsidR="00694557" w:rsidRPr="003D0040" w:rsidRDefault="00694557" w:rsidP="00694557">
      <w:pPr>
        <w:spacing w:after="0" w:line="240" w:lineRule="auto"/>
        <w:rPr>
          <w:rFonts w:eastAsia="Aptos"/>
        </w:rPr>
      </w:pPr>
    </w:p>
    <w:p w14:paraId="4EF94F2E" w14:textId="1BF70C09" w:rsidR="0033061E" w:rsidRPr="005D42BE" w:rsidRDefault="0033061E" w:rsidP="00694557">
      <w:pPr>
        <w:spacing w:after="0" w:line="240" w:lineRule="auto"/>
        <w:rPr>
          <w:rFonts w:ascii="Aptos" w:eastAsia="Aptos" w:hAnsi="Aptos" w:cs="Aptos"/>
        </w:rPr>
      </w:pPr>
      <w:r w:rsidRPr="005D42BE">
        <w:rPr>
          <w:rFonts w:ascii="Aptos" w:eastAsia="Aptos" w:hAnsi="Aptos" w:cs="Aptos"/>
        </w:rPr>
        <w:t xml:space="preserve">This </w:t>
      </w:r>
      <w:r w:rsidR="003529AD" w:rsidRPr="22D746B0">
        <w:rPr>
          <w:rFonts w:ascii="Aptos" w:eastAsia="Aptos" w:hAnsi="Aptos" w:cs="Aptos"/>
        </w:rPr>
        <w:t xml:space="preserve">statement </w:t>
      </w:r>
      <w:r w:rsidRPr="005D42BE">
        <w:rPr>
          <w:rFonts w:ascii="Aptos" w:eastAsia="Aptos" w:hAnsi="Aptos" w:cs="Aptos"/>
        </w:rPr>
        <w:t xml:space="preserve">has been developed by the Medical Sciences Council to provide </w:t>
      </w:r>
      <w:r w:rsidR="00274165">
        <w:rPr>
          <w:rFonts w:ascii="Aptos" w:eastAsia="Aptos" w:hAnsi="Aptos" w:cs="Aptos"/>
        </w:rPr>
        <w:t>guidance</w:t>
      </w:r>
      <w:r w:rsidRPr="005D42BE">
        <w:rPr>
          <w:rFonts w:ascii="Aptos" w:eastAsia="Aptos" w:hAnsi="Aptos" w:cs="Aptos"/>
        </w:rPr>
        <w:t xml:space="preserve"> about the </w:t>
      </w:r>
      <w:r w:rsidR="00E878ED">
        <w:rPr>
          <w:rFonts w:ascii="Aptos" w:eastAsia="Aptos" w:hAnsi="Aptos" w:cs="Aptos"/>
        </w:rPr>
        <w:t>administration</w:t>
      </w:r>
      <w:r w:rsidRPr="005D42BE">
        <w:rPr>
          <w:rFonts w:ascii="Aptos" w:eastAsia="Aptos" w:hAnsi="Aptos" w:cs="Aptos"/>
        </w:rPr>
        <w:t xml:space="preserve"> </w:t>
      </w:r>
      <w:r w:rsidR="001B77D3" w:rsidRPr="553F252A">
        <w:rPr>
          <w:rFonts w:ascii="Aptos" w:eastAsia="Aptos" w:hAnsi="Aptos" w:cs="Aptos"/>
        </w:rPr>
        <w:t>of</w:t>
      </w:r>
      <w:r w:rsidRPr="553F252A">
        <w:rPr>
          <w:rFonts w:ascii="Aptos" w:eastAsia="Aptos" w:hAnsi="Aptos" w:cs="Aptos"/>
        </w:rPr>
        <w:t xml:space="preserve"> </w:t>
      </w:r>
      <w:r w:rsidRPr="005D42BE">
        <w:rPr>
          <w:rFonts w:ascii="Aptos" w:eastAsia="Aptos" w:hAnsi="Aptos" w:cs="Aptos"/>
        </w:rPr>
        <w:t>sedat</w:t>
      </w:r>
      <w:r w:rsidR="00FD718B">
        <w:rPr>
          <w:rFonts w:ascii="Aptos" w:eastAsia="Aptos" w:hAnsi="Aptos" w:cs="Aptos"/>
        </w:rPr>
        <w:t>ing agents</w:t>
      </w:r>
      <w:r w:rsidRPr="005D42BE">
        <w:rPr>
          <w:rFonts w:ascii="Aptos" w:eastAsia="Aptos" w:hAnsi="Aptos" w:cs="Aptos"/>
        </w:rPr>
        <w:t xml:space="preserve"> by anaesthetic technicians. </w:t>
      </w:r>
      <w:r w:rsidR="00F22FF2">
        <w:rPr>
          <w:rFonts w:ascii="Aptos" w:eastAsia="Aptos" w:hAnsi="Aptos" w:cs="Aptos"/>
        </w:rPr>
        <w:t xml:space="preserve">The </w:t>
      </w:r>
      <w:r w:rsidR="00A608F4">
        <w:rPr>
          <w:rFonts w:ascii="Aptos" w:eastAsia="Aptos" w:hAnsi="Aptos" w:cs="Aptos"/>
        </w:rPr>
        <w:t>statement</w:t>
      </w:r>
      <w:r w:rsidR="00F22FF2">
        <w:rPr>
          <w:rFonts w:ascii="Aptos" w:eastAsia="Aptos" w:hAnsi="Aptos" w:cs="Aptos"/>
        </w:rPr>
        <w:t xml:space="preserve"> outline</w:t>
      </w:r>
      <w:r w:rsidR="00A608F4">
        <w:rPr>
          <w:rFonts w:ascii="Aptos" w:eastAsia="Aptos" w:hAnsi="Aptos" w:cs="Aptos"/>
        </w:rPr>
        <w:t>s</w:t>
      </w:r>
      <w:r w:rsidR="00F22FF2">
        <w:rPr>
          <w:rFonts w:ascii="Aptos" w:eastAsia="Aptos" w:hAnsi="Aptos" w:cs="Aptos"/>
        </w:rPr>
        <w:t xml:space="preserve"> the Council’s expectations of anaesthetic technicians when</w:t>
      </w:r>
      <w:r w:rsidR="00463467">
        <w:rPr>
          <w:rFonts w:ascii="Aptos" w:eastAsia="Aptos" w:hAnsi="Aptos" w:cs="Aptos"/>
        </w:rPr>
        <w:t xml:space="preserve"> working with patients requiring </w:t>
      </w:r>
      <w:r w:rsidR="00742075">
        <w:rPr>
          <w:rFonts w:ascii="Aptos" w:eastAsia="Aptos" w:hAnsi="Aptos" w:cs="Aptos"/>
        </w:rPr>
        <w:t xml:space="preserve">sedation. </w:t>
      </w:r>
    </w:p>
    <w:p w14:paraId="288E0215" w14:textId="0470A739" w:rsidR="6970836E" w:rsidRDefault="6970836E" w:rsidP="00694557">
      <w:pPr>
        <w:spacing w:after="0" w:line="240" w:lineRule="auto"/>
        <w:rPr>
          <w:rFonts w:ascii="Aptos" w:eastAsia="Aptos" w:hAnsi="Aptos" w:cs="Aptos"/>
        </w:rPr>
      </w:pPr>
      <w:r w:rsidRPr="22D746B0">
        <w:rPr>
          <w:rFonts w:ascii="Aptos" w:eastAsia="Aptos" w:hAnsi="Aptos" w:cs="Aptos"/>
        </w:rPr>
        <w:t xml:space="preserve">All anaesthetic </w:t>
      </w:r>
      <w:r w:rsidR="54562B31" w:rsidRPr="22D746B0">
        <w:rPr>
          <w:rFonts w:ascii="Aptos" w:eastAsia="Aptos" w:hAnsi="Aptos" w:cs="Aptos"/>
        </w:rPr>
        <w:t xml:space="preserve">technicians </w:t>
      </w:r>
      <w:r w:rsidR="00A608F4">
        <w:rPr>
          <w:rFonts w:ascii="Aptos" w:eastAsia="Aptos" w:hAnsi="Aptos" w:cs="Aptos"/>
        </w:rPr>
        <w:t>are</w:t>
      </w:r>
      <w:r w:rsidR="54562B31" w:rsidRPr="22D746B0">
        <w:rPr>
          <w:rFonts w:ascii="Aptos" w:eastAsia="Aptos" w:hAnsi="Aptos" w:cs="Aptos"/>
        </w:rPr>
        <w:t xml:space="preserve"> responsible and accountable for their</w:t>
      </w:r>
      <w:r w:rsidR="00D85480">
        <w:rPr>
          <w:rFonts w:ascii="Aptos" w:eastAsia="Aptos" w:hAnsi="Aptos" w:cs="Aptos"/>
        </w:rPr>
        <w:t xml:space="preserve"> own</w:t>
      </w:r>
      <w:r w:rsidR="54562B31" w:rsidRPr="22D746B0">
        <w:rPr>
          <w:rFonts w:ascii="Aptos" w:eastAsia="Aptos" w:hAnsi="Aptos" w:cs="Aptos"/>
        </w:rPr>
        <w:t xml:space="preserve"> practice.</w:t>
      </w:r>
    </w:p>
    <w:p w14:paraId="64A250E2" w14:textId="67FC0301" w:rsidR="006C4709" w:rsidRPr="00694557" w:rsidRDefault="00D117F6" w:rsidP="00694557">
      <w:pPr>
        <w:pStyle w:val="Heading1"/>
        <w:spacing w:before="360" w:after="120"/>
        <w:rPr>
          <w:b w:val="0"/>
          <w:bCs/>
          <w:color w:val="auto"/>
          <w:sz w:val="40"/>
        </w:rPr>
      </w:pPr>
      <w:r w:rsidRPr="00694557">
        <w:rPr>
          <w:b w:val="0"/>
          <w:bCs/>
          <w:color w:val="auto"/>
          <w:sz w:val="40"/>
        </w:rPr>
        <w:t>Background</w:t>
      </w:r>
    </w:p>
    <w:p w14:paraId="510062B3" w14:textId="50E987EC" w:rsidR="00B57E53" w:rsidRDefault="005D42BE" w:rsidP="00694557">
      <w:pPr>
        <w:spacing w:after="0" w:line="240" w:lineRule="auto"/>
      </w:pPr>
      <w:r w:rsidRPr="005D42BE">
        <w:t>Anaesthetic</w:t>
      </w:r>
      <w:r w:rsidR="004874FF" w:rsidRPr="003D0040">
        <w:t xml:space="preserve"> technicians use their clinical knowledge, skills, and judgement to perform a variety of functions to support the provision of high quality and safe perioperative care</w:t>
      </w:r>
      <w:r w:rsidR="004874FF" w:rsidRPr="005D42BE">
        <w:t xml:space="preserve">. </w:t>
      </w:r>
    </w:p>
    <w:p w14:paraId="2830073D" w14:textId="77777777" w:rsidR="00694557" w:rsidRPr="005D42BE" w:rsidRDefault="00694557" w:rsidP="00694557">
      <w:pPr>
        <w:spacing w:after="0" w:line="240" w:lineRule="auto"/>
      </w:pPr>
    </w:p>
    <w:p w14:paraId="3D1AE3FF" w14:textId="17CD5D47" w:rsidR="006C4709" w:rsidRDefault="007C7BE2" w:rsidP="00694557">
      <w:pPr>
        <w:spacing w:after="0" w:line="240" w:lineRule="auto"/>
      </w:pPr>
      <w:r w:rsidRPr="005D42BE">
        <w:t>The sedation of patients carries risks</w:t>
      </w:r>
      <w:r w:rsidR="00815A4D">
        <w:t>,</w:t>
      </w:r>
      <w:r w:rsidRPr="005D42BE">
        <w:t xml:space="preserve"> and </w:t>
      </w:r>
      <w:r w:rsidR="005D42BE" w:rsidRPr="005D42BE">
        <w:t>anaesthetic</w:t>
      </w:r>
      <w:r w:rsidRPr="005D42BE">
        <w:t xml:space="preserve"> technicians are well placed</w:t>
      </w:r>
      <w:r w:rsidR="00DE084E" w:rsidRPr="005D42BE">
        <w:t xml:space="preserve"> to</w:t>
      </w:r>
      <w:r w:rsidR="00760D60">
        <w:t xml:space="preserve"> </w:t>
      </w:r>
      <w:r w:rsidR="00DE084E" w:rsidRPr="005D42BE">
        <w:t>support safe sedation practices</w:t>
      </w:r>
      <w:r w:rsidR="00AB4058">
        <w:t xml:space="preserve"> within the bounds of </w:t>
      </w:r>
      <w:r w:rsidR="00DB0E84">
        <w:t xml:space="preserve">the anaesthetic technician </w:t>
      </w:r>
      <w:r w:rsidR="00AB4058">
        <w:t xml:space="preserve">scope of practice and </w:t>
      </w:r>
      <w:r w:rsidR="00B850FB">
        <w:t>their own knowledge</w:t>
      </w:r>
      <w:r w:rsidR="262CEEB3">
        <w:t>,</w:t>
      </w:r>
      <w:r w:rsidR="00B850FB">
        <w:t xml:space="preserve"> skills and </w:t>
      </w:r>
      <w:r w:rsidR="00AB4058">
        <w:t xml:space="preserve">expertise. </w:t>
      </w:r>
    </w:p>
    <w:p w14:paraId="6C887141" w14:textId="77777777" w:rsidR="00694557" w:rsidRDefault="00694557" w:rsidP="00694557">
      <w:pPr>
        <w:spacing w:after="0" w:line="240" w:lineRule="auto"/>
      </w:pPr>
    </w:p>
    <w:p w14:paraId="2627C308" w14:textId="4E80E340" w:rsidR="00AB2A5A" w:rsidRDefault="00AB2A5A" w:rsidP="00694557">
      <w:pPr>
        <w:spacing w:after="0" w:line="240" w:lineRule="auto"/>
        <w:rPr>
          <w:rFonts w:ascii="Aptos" w:eastAsia="Aptos" w:hAnsi="Aptos" w:cs="Aptos"/>
        </w:rPr>
      </w:pPr>
      <w:r w:rsidRPr="00442015">
        <w:rPr>
          <w:rFonts w:ascii="Aptos" w:eastAsia="Aptos" w:hAnsi="Aptos" w:cs="Aptos"/>
        </w:rPr>
        <w:t xml:space="preserve">Anaesthetic technicians may practise in operating departments, radiology, intensive care, maternity, emergency departments, and any other areas where </w:t>
      </w:r>
      <w:r w:rsidR="00FD718B">
        <w:rPr>
          <w:rFonts w:ascii="Aptos" w:eastAsia="Aptos" w:hAnsi="Aptos" w:cs="Aptos"/>
        </w:rPr>
        <w:t>sedation</w:t>
      </w:r>
      <w:r w:rsidRPr="00442015">
        <w:rPr>
          <w:rFonts w:ascii="Aptos" w:eastAsia="Aptos" w:hAnsi="Aptos" w:cs="Aptos"/>
        </w:rPr>
        <w:t xml:space="preserve"> is administered</w:t>
      </w:r>
      <w:r w:rsidR="001141D7">
        <w:rPr>
          <w:rFonts w:ascii="Aptos" w:eastAsia="Aptos" w:hAnsi="Aptos" w:cs="Aptos"/>
        </w:rPr>
        <w:t xml:space="preserve">. </w:t>
      </w:r>
    </w:p>
    <w:p w14:paraId="79558A8D" w14:textId="77777777" w:rsidR="00465D54" w:rsidRPr="003D0040" w:rsidRDefault="00465D54" w:rsidP="00694557">
      <w:pPr>
        <w:spacing w:after="0" w:line="240" w:lineRule="auto"/>
        <w:rPr>
          <w:rFonts w:ascii="Aptos" w:eastAsia="Aptos" w:hAnsi="Aptos" w:cs="Aptos"/>
        </w:rPr>
      </w:pPr>
    </w:p>
    <w:p w14:paraId="7DDAB62F" w14:textId="1E3E4C21" w:rsidR="00AF500C" w:rsidRPr="00EF5A67" w:rsidRDefault="006C2679" w:rsidP="00694557">
      <w:pPr>
        <w:spacing w:after="0" w:line="240" w:lineRule="auto"/>
        <w:rPr>
          <w:rFonts w:ascii="Aptos" w:eastAsia="Aptos" w:hAnsi="Aptos" w:cs="Aptos"/>
        </w:rPr>
      </w:pPr>
      <w:r w:rsidRPr="003D0040">
        <w:rPr>
          <w:rFonts w:ascii="Aptos" w:eastAsia="Aptos" w:hAnsi="Aptos" w:cs="Aptos"/>
        </w:rPr>
        <w:t>All sedation carried out</w:t>
      </w:r>
      <w:r w:rsidR="00D2368F">
        <w:rPr>
          <w:rFonts w:ascii="Aptos" w:eastAsia="Aptos" w:hAnsi="Aptos" w:cs="Aptos"/>
        </w:rPr>
        <w:t xml:space="preserve"> must be</w:t>
      </w:r>
      <w:r w:rsidRPr="003D0040">
        <w:rPr>
          <w:rFonts w:ascii="Aptos" w:eastAsia="Aptos" w:hAnsi="Aptos" w:cs="Aptos"/>
        </w:rPr>
        <w:t xml:space="preserve"> in accordance with the Medical Sciences Councils </w:t>
      </w:r>
      <w:r w:rsidR="29698814" w:rsidRPr="553F252A">
        <w:rPr>
          <w:rFonts w:ascii="Aptos" w:eastAsia="Aptos" w:hAnsi="Aptos" w:cs="Aptos"/>
        </w:rPr>
        <w:t>C</w:t>
      </w:r>
      <w:r w:rsidRPr="553F252A">
        <w:rPr>
          <w:rFonts w:ascii="Aptos" w:eastAsia="Aptos" w:hAnsi="Aptos" w:cs="Aptos"/>
        </w:rPr>
        <w:t xml:space="preserve">ompetence </w:t>
      </w:r>
      <w:r w:rsidR="49E91766" w:rsidRPr="553F252A">
        <w:rPr>
          <w:rFonts w:ascii="Aptos" w:eastAsia="Aptos" w:hAnsi="Aptos" w:cs="Aptos"/>
        </w:rPr>
        <w:t>S</w:t>
      </w:r>
      <w:r w:rsidRPr="553F252A">
        <w:rPr>
          <w:rFonts w:ascii="Aptos" w:eastAsia="Aptos" w:hAnsi="Aptos" w:cs="Aptos"/>
        </w:rPr>
        <w:t>tandards</w:t>
      </w:r>
      <w:r w:rsidR="00FE1B55" w:rsidRPr="553F252A">
        <w:rPr>
          <w:rFonts w:ascii="Aptos" w:eastAsia="Aptos" w:hAnsi="Aptos" w:cs="Aptos"/>
        </w:rPr>
        <w:t xml:space="preserve"> for </w:t>
      </w:r>
      <w:r w:rsidR="7D01B499" w:rsidRPr="553F252A">
        <w:rPr>
          <w:rFonts w:ascii="Aptos" w:eastAsia="Aptos" w:hAnsi="Aptos" w:cs="Aptos"/>
        </w:rPr>
        <w:t>A</w:t>
      </w:r>
      <w:r w:rsidR="005E2D69" w:rsidRPr="553F252A">
        <w:rPr>
          <w:rFonts w:ascii="Aptos" w:eastAsia="Aptos" w:hAnsi="Aptos" w:cs="Aptos"/>
        </w:rPr>
        <w:t>naesthetic</w:t>
      </w:r>
      <w:r w:rsidR="00FE1B55" w:rsidRPr="553F252A">
        <w:rPr>
          <w:rFonts w:ascii="Aptos" w:eastAsia="Aptos" w:hAnsi="Aptos" w:cs="Aptos"/>
        </w:rPr>
        <w:t xml:space="preserve"> </w:t>
      </w:r>
      <w:r w:rsidR="00437E9E">
        <w:rPr>
          <w:rFonts w:ascii="Aptos" w:eastAsia="Aptos" w:hAnsi="Aptos" w:cs="Aptos"/>
        </w:rPr>
        <w:t>Te</w:t>
      </w:r>
      <w:r w:rsidR="00FE1B55" w:rsidRPr="553F252A">
        <w:rPr>
          <w:rFonts w:ascii="Aptos" w:eastAsia="Aptos" w:hAnsi="Aptos" w:cs="Aptos"/>
        </w:rPr>
        <w:t>chnicians (</w:t>
      </w:r>
      <w:r w:rsidR="7D37E68E" w:rsidRPr="553F252A">
        <w:rPr>
          <w:rFonts w:ascii="Aptos" w:eastAsia="Aptos" w:hAnsi="Aptos" w:cs="Aptos"/>
        </w:rPr>
        <w:t>2024</w:t>
      </w:r>
      <w:r w:rsidR="00FE1B55" w:rsidRPr="553F252A">
        <w:rPr>
          <w:rFonts w:ascii="Aptos" w:eastAsia="Aptos" w:hAnsi="Aptos" w:cs="Aptos"/>
        </w:rPr>
        <w:t>)</w:t>
      </w:r>
      <w:r w:rsidRPr="553F252A">
        <w:rPr>
          <w:rFonts w:ascii="Aptos" w:eastAsia="Aptos" w:hAnsi="Aptos" w:cs="Aptos"/>
        </w:rPr>
        <w:t>,</w:t>
      </w:r>
      <w:r w:rsidR="00437E9E">
        <w:rPr>
          <w:rFonts w:ascii="Aptos" w:eastAsia="Aptos" w:hAnsi="Aptos" w:cs="Aptos"/>
        </w:rPr>
        <w:t xml:space="preserve"> </w:t>
      </w:r>
      <w:r w:rsidR="00437E9E" w:rsidRPr="00437E9E">
        <w:rPr>
          <w:rFonts w:ascii="Aptos" w:eastAsia="Aptos" w:hAnsi="Aptos" w:cs="Aptos"/>
        </w:rPr>
        <w:t>C</w:t>
      </w:r>
      <w:r w:rsidR="00437E9E">
        <w:rPr>
          <w:rFonts w:ascii="Aptos" w:eastAsia="Aptos" w:hAnsi="Aptos" w:cs="Aptos"/>
        </w:rPr>
        <w:t>ode</w:t>
      </w:r>
      <w:r w:rsidR="00437E9E" w:rsidRPr="00437E9E">
        <w:rPr>
          <w:rFonts w:ascii="Aptos" w:eastAsia="Aptos" w:hAnsi="Aptos" w:cs="Aptos"/>
        </w:rPr>
        <w:t xml:space="preserve"> </w:t>
      </w:r>
      <w:r w:rsidR="00437E9E">
        <w:rPr>
          <w:rFonts w:ascii="Aptos" w:eastAsia="Aptos" w:hAnsi="Aptos" w:cs="Aptos"/>
        </w:rPr>
        <w:t xml:space="preserve">of </w:t>
      </w:r>
      <w:r w:rsidR="00437E9E" w:rsidRPr="00437E9E">
        <w:rPr>
          <w:rFonts w:ascii="Aptos" w:eastAsia="Aptos" w:hAnsi="Aptos" w:cs="Aptos"/>
        </w:rPr>
        <w:t>E</w:t>
      </w:r>
      <w:r w:rsidR="00437E9E">
        <w:rPr>
          <w:rFonts w:ascii="Aptos" w:eastAsia="Aptos" w:hAnsi="Aptos" w:cs="Aptos"/>
        </w:rPr>
        <w:t>thical</w:t>
      </w:r>
      <w:r w:rsidR="00437E9E" w:rsidRPr="00437E9E">
        <w:rPr>
          <w:rFonts w:ascii="Aptos" w:eastAsia="Aptos" w:hAnsi="Aptos" w:cs="Aptos"/>
        </w:rPr>
        <w:t xml:space="preserve"> C</w:t>
      </w:r>
      <w:r w:rsidR="00437E9E">
        <w:rPr>
          <w:rFonts w:ascii="Aptos" w:eastAsia="Aptos" w:hAnsi="Aptos" w:cs="Aptos"/>
        </w:rPr>
        <w:t>onduct</w:t>
      </w:r>
      <w:r w:rsidRPr="553F252A">
        <w:rPr>
          <w:rFonts w:ascii="Aptos" w:eastAsia="Aptos" w:hAnsi="Aptos" w:cs="Aptos"/>
        </w:rPr>
        <w:t xml:space="preserve"> </w:t>
      </w:r>
      <w:r w:rsidRPr="003D0040">
        <w:rPr>
          <w:rFonts w:ascii="Aptos" w:eastAsia="Aptos" w:hAnsi="Aptos" w:cs="Aptos"/>
        </w:rPr>
        <w:t>and other relevant standards, including local and other relevant policies</w:t>
      </w:r>
      <w:r w:rsidR="005E2D69" w:rsidRPr="553F252A">
        <w:rPr>
          <w:rFonts w:ascii="Aptos" w:eastAsia="Aptos" w:hAnsi="Aptos" w:cs="Aptos"/>
        </w:rPr>
        <w:t>, procedures, standing orders</w:t>
      </w:r>
      <w:r w:rsidRPr="553F252A">
        <w:rPr>
          <w:rFonts w:ascii="Aptos" w:eastAsia="Aptos" w:hAnsi="Aptos" w:cs="Aptos"/>
        </w:rPr>
        <w:t xml:space="preserve"> and </w:t>
      </w:r>
      <w:r w:rsidRPr="003D0040">
        <w:rPr>
          <w:rFonts w:ascii="Aptos" w:eastAsia="Aptos" w:hAnsi="Aptos" w:cs="Aptos"/>
        </w:rPr>
        <w:t xml:space="preserve">guidance. </w:t>
      </w:r>
    </w:p>
    <w:p w14:paraId="03B710D5" w14:textId="00E8FA32" w:rsidR="00A85429" w:rsidRPr="00465D54" w:rsidRDefault="00A85429" w:rsidP="00465D54">
      <w:pPr>
        <w:pStyle w:val="Heading2"/>
        <w:spacing w:before="240" w:after="60"/>
        <w:rPr>
          <w:color w:val="AD2B50"/>
          <w:sz w:val="32"/>
        </w:rPr>
      </w:pPr>
      <w:r w:rsidRPr="00465D54">
        <w:rPr>
          <w:color w:val="AD2B50"/>
          <w:sz w:val="32"/>
        </w:rPr>
        <w:t>Prescribing</w:t>
      </w:r>
      <w:r w:rsidR="00DB6311" w:rsidRPr="00465D54">
        <w:rPr>
          <w:color w:val="AD2B50"/>
          <w:sz w:val="32"/>
        </w:rPr>
        <w:t xml:space="preserve"> and administering</w:t>
      </w:r>
      <w:r w:rsidRPr="00465D54">
        <w:rPr>
          <w:color w:val="AD2B50"/>
          <w:sz w:val="32"/>
        </w:rPr>
        <w:t xml:space="preserve"> </w:t>
      </w:r>
      <w:r w:rsidR="007A1604" w:rsidRPr="00465D54">
        <w:rPr>
          <w:color w:val="AD2B50"/>
          <w:sz w:val="32"/>
        </w:rPr>
        <w:t>sedation</w:t>
      </w:r>
    </w:p>
    <w:p w14:paraId="1AC4B3BD" w14:textId="419AF833" w:rsidR="00D85B79" w:rsidRDefault="00D85B79" w:rsidP="00465D5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Anaesthetic technicians </w:t>
      </w:r>
      <w:r w:rsidR="00F07C17">
        <w:rPr>
          <w:rFonts w:ascii="Aptos" w:eastAsia="Aptos" w:hAnsi="Aptos" w:cs="Aptos"/>
        </w:rPr>
        <w:t>c</w:t>
      </w:r>
      <w:r w:rsidR="00F07C17" w:rsidRPr="00442015">
        <w:rPr>
          <w:rFonts w:ascii="Aptos" w:eastAsia="Aptos" w:hAnsi="Aptos" w:cs="Aptos"/>
        </w:rPr>
        <w:t>annot prescribe agents used for general anaesthesia or sedation.</w:t>
      </w:r>
      <w:r w:rsidR="00F07C17">
        <w:rPr>
          <w:rFonts w:ascii="Aptos" w:eastAsia="Aptos" w:hAnsi="Aptos" w:cs="Aptos"/>
        </w:rPr>
        <w:t xml:space="preserve"> </w:t>
      </w:r>
      <w:r w:rsidR="00FB5DDF">
        <w:rPr>
          <w:rFonts w:ascii="Aptos" w:eastAsia="Aptos" w:hAnsi="Aptos" w:cs="Aptos"/>
        </w:rPr>
        <w:t>Medicines for sedation must be prescribed by an a</w:t>
      </w:r>
      <w:r w:rsidRPr="005D42BE">
        <w:rPr>
          <w:rFonts w:ascii="Aptos" w:eastAsia="Aptos" w:hAnsi="Aptos" w:cs="Aptos"/>
        </w:rPr>
        <w:t xml:space="preserve">uthorised prescriber as described in the Medicines Regulation Act 1984 and Medicines Amendment Regulations </w:t>
      </w:r>
      <w:r w:rsidR="008E1837">
        <w:rPr>
          <w:rFonts w:ascii="Aptos" w:eastAsia="Aptos" w:hAnsi="Aptos" w:cs="Aptos"/>
        </w:rPr>
        <w:t>1984</w:t>
      </w:r>
      <w:r w:rsidRPr="005D42BE">
        <w:rPr>
          <w:rFonts w:ascii="Aptos" w:eastAsia="Aptos" w:hAnsi="Aptos" w:cs="Aptos"/>
        </w:rPr>
        <w:t>.</w:t>
      </w:r>
    </w:p>
    <w:p w14:paraId="669A5E93" w14:textId="77777777" w:rsidR="00465D54" w:rsidRDefault="00465D54" w:rsidP="00465D54">
      <w:pPr>
        <w:spacing w:after="0" w:line="240" w:lineRule="auto"/>
      </w:pPr>
    </w:p>
    <w:p w14:paraId="1D2B72D9" w14:textId="038F003F" w:rsidR="00437E86" w:rsidRDefault="00FB5DDF" w:rsidP="00465D5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</w:t>
      </w:r>
      <w:r w:rsidR="00437E86" w:rsidRPr="003D0040">
        <w:rPr>
          <w:rFonts w:ascii="Aptos" w:eastAsia="Aptos" w:hAnsi="Aptos" w:cs="Aptos"/>
        </w:rPr>
        <w:t xml:space="preserve">he prescriber </w:t>
      </w:r>
      <w:r>
        <w:rPr>
          <w:rFonts w:ascii="Aptos" w:eastAsia="Aptos" w:hAnsi="Aptos" w:cs="Aptos"/>
        </w:rPr>
        <w:t xml:space="preserve">of the medicine </w:t>
      </w:r>
      <w:r w:rsidR="00437E86" w:rsidRPr="003D0040">
        <w:rPr>
          <w:rFonts w:ascii="Aptos" w:eastAsia="Aptos" w:hAnsi="Aptos" w:cs="Aptos"/>
        </w:rPr>
        <w:t xml:space="preserve">retains responsibility for the prescription of the medicine, including correct </w:t>
      </w:r>
      <w:r w:rsidR="002E194F">
        <w:rPr>
          <w:rFonts w:ascii="Aptos" w:eastAsia="Aptos" w:hAnsi="Aptos" w:cs="Aptos"/>
        </w:rPr>
        <w:t xml:space="preserve">medication, </w:t>
      </w:r>
      <w:r w:rsidR="00437E86" w:rsidRPr="003D0040">
        <w:rPr>
          <w:rFonts w:ascii="Aptos" w:eastAsia="Aptos" w:hAnsi="Aptos" w:cs="Aptos"/>
        </w:rPr>
        <w:t xml:space="preserve">dosage, </w:t>
      </w:r>
      <w:r w:rsidR="00BC4CB2">
        <w:rPr>
          <w:rFonts w:ascii="Aptos" w:eastAsia="Aptos" w:hAnsi="Aptos" w:cs="Aptos"/>
        </w:rPr>
        <w:t>route of administration</w:t>
      </w:r>
      <w:r w:rsidR="00735D46">
        <w:rPr>
          <w:rFonts w:ascii="Aptos" w:eastAsia="Aptos" w:hAnsi="Aptos" w:cs="Aptos"/>
        </w:rPr>
        <w:t>, timing</w:t>
      </w:r>
      <w:r w:rsidR="00BC4CB2">
        <w:rPr>
          <w:rFonts w:ascii="Aptos" w:eastAsia="Aptos" w:hAnsi="Aptos" w:cs="Aptos"/>
        </w:rPr>
        <w:t xml:space="preserve"> </w:t>
      </w:r>
      <w:r w:rsidR="00437E86" w:rsidRPr="003D0040">
        <w:rPr>
          <w:rFonts w:ascii="Aptos" w:eastAsia="Aptos" w:hAnsi="Aptos" w:cs="Aptos"/>
        </w:rPr>
        <w:t>and patient</w:t>
      </w:r>
      <w:r>
        <w:rPr>
          <w:rFonts w:ascii="Aptos" w:eastAsia="Aptos" w:hAnsi="Aptos" w:cs="Aptos"/>
        </w:rPr>
        <w:t xml:space="preserve">, regardless of who administers the medicine. </w:t>
      </w:r>
    </w:p>
    <w:p w14:paraId="0C824737" w14:textId="77777777" w:rsidR="00D85B79" w:rsidRDefault="00D85B79" w:rsidP="00465D54">
      <w:pPr>
        <w:spacing w:after="0" w:line="240" w:lineRule="auto"/>
        <w:rPr>
          <w:rFonts w:ascii="Aptos" w:eastAsia="Aptos" w:hAnsi="Aptos" w:cs="Aptos"/>
        </w:rPr>
      </w:pPr>
    </w:p>
    <w:p w14:paraId="73B9121A" w14:textId="0D346EC5" w:rsidR="00E676EB" w:rsidRDefault="00437E86" w:rsidP="00465D54">
      <w:pPr>
        <w:spacing w:after="0" w:line="240" w:lineRule="auto"/>
        <w:rPr>
          <w:rFonts w:ascii="Aptos" w:eastAsia="Aptos" w:hAnsi="Aptos" w:cs="Aptos"/>
        </w:rPr>
      </w:pPr>
      <w:r w:rsidRPr="003D0040">
        <w:rPr>
          <w:rFonts w:ascii="Aptos" w:eastAsia="Aptos" w:hAnsi="Aptos" w:cs="Aptos"/>
        </w:rPr>
        <w:t>The anaesthetic technician</w:t>
      </w:r>
      <w:r w:rsidR="00BA7900">
        <w:rPr>
          <w:rFonts w:ascii="Aptos" w:eastAsia="Aptos" w:hAnsi="Aptos" w:cs="Aptos"/>
        </w:rPr>
        <w:t xml:space="preserve"> administering the medicine takes</w:t>
      </w:r>
      <w:r w:rsidRPr="003D0040">
        <w:rPr>
          <w:rFonts w:ascii="Aptos" w:eastAsia="Aptos" w:hAnsi="Aptos" w:cs="Aptos"/>
        </w:rPr>
        <w:t xml:space="preserve"> responsibility for checking of the medication prior to administration including correct </w:t>
      </w:r>
      <w:r w:rsidR="00E677CE">
        <w:rPr>
          <w:rFonts w:ascii="Aptos" w:eastAsia="Aptos" w:hAnsi="Aptos" w:cs="Aptos"/>
        </w:rPr>
        <w:t xml:space="preserve">medicine, </w:t>
      </w:r>
      <w:r w:rsidR="00750660">
        <w:rPr>
          <w:rFonts w:ascii="Aptos" w:eastAsia="Aptos" w:hAnsi="Aptos" w:cs="Aptos"/>
        </w:rPr>
        <w:t xml:space="preserve">patient, </w:t>
      </w:r>
      <w:r w:rsidRPr="003D0040">
        <w:rPr>
          <w:rFonts w:ascii="Aptos" w:eastAsia="Aptos" w:hAnsi="Aptos" w:cs="Aptos"/>
        </w:rPr>
        <w:t>route, dose</w:t>
      </w:r>
      <w:r w:rsidR="00E677CE">
        <w:rPr>
          <w:rFonts w:ascii="Aptos" w:eastAsia="Aptos" w:hAnsi="Aptos" w:cs="Aptos"/>
        </w:rPr>
        <w:t xml:space="preserve"> and </w:t>
      </w:r>
      <w:r w:rsidR="00750660">
        <w:rPr>
          <w:rFonts w:ascii="Aptos" w:eastAsia="Aptos" w:hAnsi="Aptos" w:cs="Aptos"/>
        </w:rPr>
        <w:t>timing</w:t>
      </w:r>
      <w:r w:rsidR="009C73A1">
        <w:rPr>
          <w:rFonts w:ascii="Aptos" w:eastAsia="Aptos" w:hAnsi="Aptos" w:cs="Aptos"/>
        </w:rPr>
        <w:t>,</w:t>
      </w:r>
      <w:r w:rsidRPr="003D0040">
        <w:rPr>
          <w:rFonts w:ascii="Aptos" w:eastAsia="Aptos" w:hAnsi="Aptos" w:cs="Aptos"/>
        </w:rPr>
        <w:t xml:space="preserve"> in accordance with local policy</w:t>
      </w:r>
      <w:r w:rsidR="0073771D">
        <w:rPr>
          <w:rFonts w:ascii="Aptos" w:eastAsia="Aptos" w:hAnsi="Aptos" w:cs="Aptos"/>
        </w:rPr>
        <w:t>.</w:t>
      </w:r>
      <w:r w:rsidRPr="003D0040">
        <w:rPr>
          <w:rFonts w:ascii="Aptos" w:eastAsia="Aptos" w:hAnsi="Aptos" w:cs="Aptos"/>
        </w:rPr>
        <w:t xml:space="preserve"> </w:t>
      </w:r>
    </w:p>
    <w:p w14:paraId="65818FB3" w14:textId="77777777" w:rsidR="00E676EB" w:rsidRPr="00465D54" w:rsidRDefault="00E676EB" w:rsidP="00465D54">
      <w:pPr>
        <w:pStyle w:val="Heading2"/>
        <w:spacing w:before="240" w:after="60"/>
        <w:rPr>
          <w:color w:val="AD2B50"/>
          <w:sz w:val="32"/>
        </w:rPr>
      </w:pPr>
      <w:r w:rsidRPr="00465D54">
        <w:rPr>
          <w:color w:val="AD2B50"/>
          <w:sz w:val="32"/>
        </w:rPr>
        <w:t>Types of sedation</w:t>
      </w:r>
    </w:p>
    <w:p w14:paraId="09292916" w14:textId="70524213" w:rsidR="003061FB" w:rsidRDefault="00E676EB" w:rsidP="00AC6396">
      <w:pPr>
        <w:spacing w:line="276" w:lineRule="auto"/>
        <w:rPr>
          <w:rFonts w:ascii="Aptos" w:eastAsia="Aptos" w:hAnsi="Aptos" w:cs="Aptos"/>
        </w:rPr>
      </w:pPr>
      <w:r w:rsidRPr="005D42BE">
        <w:rPr>
          <w:rFonts w:ascii="Aptos" w:eastAsia="Aptos" w:hAnsi="Aptos" w:cs="Aptos"/>
        </w:rPr>
        <w:t>In the absence of</w:t>
      </w:r>
      <w:r w:rsidR="00D42235">
        <w:rPr>
          <w:rFonts w:ascii="Aptos" w:eastAsia="Aptos" w:hAnsi="Aptos" w:cs="Aptos"/>
        </w:rPr>
        <w:t xml:space="preserve"> </w:t>
      </w:r>
      <w:r w:rsidR="005378B9">
        <w:rPr>
          <w:rFonts w:ascii="Aptos" w:eastAsia="Aptos" w:hAnsi="Aptos" w:cs="Aptos"/>
        </w:rPr>
        <w:t xml:space="preserve">an </w:t>
      </w:r>
      <w:r w:rsidR="00D42235">
        <w:rPr>
          <w:rFonts w:ascii="Aptos" w:eastAsia="Aptos" w:hAnsi="Aptos" w:cs="Aptos"/>
        </w:rPr>
        <w:t>anaesthetist or emergency specialist</w:t>
      </w:r>
      <w:r w:rsidR="003061FB">
        <w:rPr>
          <w:rFonts w:ascii="Aptos" w:eastAsia="Aptos" w:hAnsi="Aptos" w:cs="Aptos"/>
        </w:rPr>
        <w:t>,</w:t>
      </w:r>
      <w:r w:rsidR="00D42235">
        <w:rPr>
          <w:rFonts w:ascii="Aptos" w:eastAsia="Aptos" w:hAnsi="Aptos" w:cs="Aptos"/>
        </w:rPr>
        <w:t xml:space="preserve"> the s</w:t>
      </w:r>
      <w:r w:rsidRPr="005D42BE">
        <w:rPr>
          <w:rFonts w:ascii="Aptos" w:eastAsia="Aptos" w:hAnsi="Aptos" w:cs="Aptos"/>
        </w:rPr>
        <w:t>edation</w:t>
      </w:r>
      <w:r>
        <w:rPr>
          <w:rFonts w:ascii="Aptos" w:eastAsia="Aptos" w:hAnsi="Aptos" w:cs="Aptos"/>
        </w:rPr>
        <w:t xml:space="preserve"> </w:t>
      </w:r>
      <w:r w:rsidR="00D42235">
        <w:rPr>
          <w:rFonts w:ascii="Aptos" w:eastAsia="Aptos" w:hAnsi="Aptos" w:cs="Aptos"/>
        </w:rPr>
        <w:t>administered</w:t>
      </w:r>
      <w:r>
        <w:rPr>
          <w:rFonts w:ascii="Aptos" w:eastAsia="Aptos" w:hAnsi="Aptos" w:cs="Aptos"/>
        </w:rPr>
        <w:t xml:space="preserve"> by</w:t>
      </w:r>
      <w:r w:rsidR="0065736C">
        <w:rPr>
          <w:rFonts w:ascii="Aptos" w:eastAsia="Aptos" w:hAnsi="Aptos" w:cs="Aptos"/>
        </w:rPr>
        <w:t xml:space="preserve"> an</w:t>
      </w:r>
      <w:r w:rsidR="007B2F8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anaesthetic technician</w:t>
      </w:r>
      <w:r w:rsidRPr="005D42BE">
        <w:rPr>
          <w:rFonts w:ascii="Aptos" w:eastAsia="Aptos" w:hAnsi="Aptos" w:cs="Aptos"/>
        </w:rPr>
        <w:t xml:space="preserve"> is limited to the provision of </w:t>
      </w:r>
      <w:r w:rsidR="00AC6396">
        <w:rPr>
          <w:rFonts w:ascii="Aptos" w:eastAsia="Aptos" w:hAnsi="Aptos" w:cs="Aptos"/>
        </w:rPr>
        <w:t xml:space="preserve">minimal </w:t>
      </w:r>
      <w:r w:rsidR="00D42235">
        <w:rPr>
          <w:rFonts w:ascii="Aptos" w:eastAsia="Aptos" w:hAnsi="Aptos" w:cs="Aptos"/>
        </w:rPr>
        <w:t>or</w:t>
      </w:r>
      <w:r w:rsidR="00AC6396">
        <w:rPr>
          <w:rFonts w:ascii="Aptos" w:eastAsia="Aptos" w:hAnsi="Aptos" w:cs="Aptos"/>
        </w:rPr>
        <w:t xml:space="preserve"> moderate levels of </w:t>
      </w:r>
      <w:r w:rsidRPr="005D42BE">
        <w:rPr>
          <w:rFonts w:ascii="Aptos" w:eastAsia="Aptos" w:hAnsi="Aptos" w:cs="Aptos"/>
        </w:rPr>
        <w:t xml:space="preserve">conscious sedation. This is a </w:t>
      </w:r>
      <w:r w:rsidR="000B6D14">
        <w:rPr>
          <w:rFonts w:ascii="Aptos" w:eastAsia="Aptos" w:hAnsi="Aptos" w:cs="Aptos"/>
        </w:rPr>
        <w:t>level of sedation</w:t>
      </w:r>
      <w:r w:rsidRPr="005D42BE">
        <w:rPr>
          <w:rFonts w:ascii="Aptos" w:eastAsia="Aptos" w:hAnsi="Aptos" w:cs="Aptos"/>
        </w:rPr>
        <w:t xml:space="preserve"> where patients </w:t>
      </w:r>
      <w:r w:rsidR="001B4C87" w:rsidRPr="005D42BE">
        <w:rPr>
          <w:rFonts w:ascii="Aptos" w:eastAsia="Aptos" w:hAnsi="Aptos" w:cs="Aptos"/>
        </w:rPr>
        <w:t>can</w:t>
      </w:r>
      <w:r w:rsidRPr="005D42BE">
        <w:rPr>
          <w:rFonts w:ascii="Aptos" w:eastAsia="Aptos" w:hAnsi="Aptos" w:cs="Aptos"/>
        </w:rPr>
        <w:t xml:space="preserve"> respond purposefully to verbal command</w:t>
      </w:r>
      <w:r w:rsidR="00AC6396">
        <w:rPr>
          <w:rFonts w:ascii="Aptos" w:eastAsia="Aptos" w:hAnsi="Aptos" w:cs="Aptos"/>
        </w:rPr>
        <w:t>s</w:t>
      </w:r>
      <w:r w:rsidRPr="005D42BE">
        <w:rPr>
          <w:rFonts w:ascii="Aptos" w:eastAsia="Aptos" w:hAnsi="Aptos" w:cs="Aptos"/>
        </w:rPr>
        <w:t xml:space="preserve"> or tactile st</w:t>
      </w:r>
      <w:r w:rsidR="00D42235">
        <w:rPr>
          <w:rFonts w:ascii="Aptos" w:eastAsia="Aptos" w:hAnsi="Aptos" w:cs="Aptos"/>
        </w:rPr>
        <w:t>imulation</w:t>
      </w:r>
      <w:r w:rsidRPr="005D42BE">
        <w:rPr>
          <w:rFonts w:ascii="Aptos" w:eastAsia="Aptos" w:hAnsi="Aptos" w:cs="Aptos"/>
        </w:rPr>
        <w:t xml:space="preserve">. </w:t>
      </w:r>
    </w:p>
    <w:p w14:paraId="7C57B62A" w14:textId="22490529" w:rsidR="00665BE4" w:rsidRPr="00465D54" w:rsidRDefault="00665BE4" w:rsidP="00465D54">
      <w:pPr>
        <w:pStyle w:val="Heading2"/>
        <w:spacing w:before="240" w:after="60"/>
        <w:rPr>
          <w:color w:val="AD2B50"/>
          <w:sz w:val="32"/>
        </w:rPr>
      </w:pPr>
      <w:r w:rsidRPr="00465D54">
        <w:rPr>
          <w:color w:val="AD2B50"/>
          <w:sz w:val="32"/>
        </w:rPr>
        <w:t>Safety</w:t>
      </w:r>
    </w:p>
    <w:p w14:paraId="0FCC8B86" w14:textId="56F58B60" w:rsidR="00F348A8" w:rsidRDefault="00092857" w:rsidP="00465D5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In the administration of sedation, t</w:t>
      </w:r>
      <w:r w:rsidR="00F348A8">
        <w:rPr>
          <w:rFonts w:ascii="Aptos" w:eastAsia="Aptos" w:hAnsi="Aptos" w:cs="Aptos"/>
        </w:rPr>
        <w:t xml:space="preserve">he prescribing practitioner or </w:t>
      </w:r>
      <w:r w:rsidR="00665BE4">
        <w:rPr>
          <w:rFonts w:ascii="Aptos" w:eastAsia="Aptos" w:hAnsi="Aptos" w:cs="Aptos"/>
        </w:rPr>
        <w:t xml:space="preserve">an </w:t>
      </w:r>
      <w:r w:rsidR="00F348A8">
        <w:rPr>
          <w:rFonts w:ascii="Aptos" w:eastAsia="Aptos" w:hAnsi="Aptos" w:cs="Aptos"/>
        </w:rPr>
        <w:t xml:space="preserve">appropriately qualified medical practitioner must be available to provide immediate assistance. </w:t>
      </w:r>
    </w:p>
    <w:p w14:paraId="51A37B44" w14:textId="77777777" w:rsidR="00465D54" w:rsidRDefault="00465D54" w:rsidP="00465D54">
      <w:pPr>
        <w:spacing w:after="0" w:line="240" w:lineRule="auto"/>
        <w:rPr>
          <w:rFonts w:ascii="Aptos" w:eastAsia="Aptos" w:hAnsi="Aptos" w:cs="Aptos"/>
        </w:rPr>
      </w:pPr>
    </w:p>
    <w:p w14:paraId="47C83BB8" w14:textId="3412CCC7" w:rsidR="00022719" w:rsidRDefault="006B1CF2" w:rsidP="00465D54">
      <w:pPr>
        <w:spacing w:after="0" w:line="240" w:lineRule="auto"/>
        <w:rPr>
          <w:rFonts w:ascii="Aptos" w:eastAsia="Aptos" w:hAnsi="Aptos" w:cs="Aptos"/>
        </w:rPr>
      </w:pPr>
      <w:r w:rsidRPr="003D0040">
        <w:rPr>
          <w:rFonts w:ascii="Aptos" w:eastAsia="Aptos" w:hAnsi="Aptos" w:cs="Aptos"/>
        </w:rPr>
        <w:t>Sedation must occur with the appropriate level of supervision and support being available for the level of sedation</w:t>
      </w:r>
      <w:r>
        <w:rPr>
          <w:rFonts w:ascii="Aptos" w:eastAsia="Aptos" w:hAnsi="Aptos" w:cs="Aptos"/>
        </w:rPr>
        <w:t xml:space="preserve"> and in accordance with the competence level of the practitioner.</w:t>
      </w:r>
      <w:r w:rsidRPr="003D0040">
        <w:rPr>
          <w:rFonts w:ascii="Aptos" w:eastAsia="Aptos" w:hAnsi="Aptos" w:cs="Aptos"/>
        </w:rPr>
        <w:t xml:space="preserve"> </w:t>
      </w:r>
    </w:p>
    <w:p w14:paraId="70FE1A72" w14:textId="77777777" w:rsidR="00465D54" w:rsidRDefault="00465D54" w:rsidP="00465D54">
      <w:pPr>
        <w:spacing w:after="0" w:line="240" w:lineRule="auto"/>
        <w:rPr>
          <w:rFonts w:ascii="Aptos" w:eastAsia="Aptos" w:hAnsi="Aptos" w:cs="Aptos"/>
        </w:rPr>
      </w:pPr>
    </w:p>
    <w:p w14:paraId="2BEF0A21" w14:textId="5F498059" w:rsidR="00B32E24" w:rsidRDefault="006B1CF2" w:rsidP="00465D5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Sedation should never be performed </w:t>
      </w:r>
      <w:r w:rsidR="007565FE">
        <w:rPr>
          <w:rFonts w:ascii="Aptos" w:eastAsia="Aptos" w:hAnsi="Aptos" w:cs="Aptos"/>
        </w:rPr>
        <w:t>alone</w:t>
      </w:r>
      <w:r w:rsidR="00B74055">
        <w:rPr>
          <w:rFonts w:ascii="Aptos" w:eastAsia="Aptos" w:hAnsi="Aptos" w:cs="Aptos"/>
        </w:rPr>
        <w:t xml:space="preserve"> and must be undertaken with the appropriate supervision and support</w:t>
      </w:r>
      <w:r w:rsidR="00465D54">
        <w:rPr>
          <w:rFonts w:ascii="Aptos" w:eastAsia="Aptos" w:hAnsi="Aptos" w:cs="Aptos"/>
        </w:rPr>
        <w:t>.</w:t>
      </w:r>
    </w:p>
    <w:p w14:paraId="0FC4CC64" w14:textId="7AED4B8D" w:rsidR="00486783" w:rsidRPr="00465D54" w:rsidRDefault="00486783" w:rsidP="00465D54">
      <w:pPr>
        <w:pStyle w:val="Heading2"/>
        <w:spacing w:before="240" w:after="60"/>
        <w:rPr>
          <w:color w:val="AD2B50"/>
          <w:sz w:val="32"/>
        </w:rPr>
      </w:pPr>
      <w:r w:rsidRPr="00465D54">
        <w:rPr>
          <w:color w:val="AD2B50"/>
          <w:sz w:val="32"/>
        </w:rPr>
        <w:t>Remote monitoring</w:t>
      </w:r>
    </w:p>
    <w:p w14:paraId="31EBFCD3" w14:textId="1432D079" w:rsidR="00B66570" w:rsidRDefault="00486783" w:rsidP="00465D5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Technology </w:t>
      </w:r>
      <w:r w:rsidR="0066432B">
        <w:rPr>
          <w:rFonts w:ascii="Aptos" w:eastAsia="Aptos" w:hAnsi="Aptos" w:cs="Aptos"/>
        </w:rPr>
        <w:t xml:space="preserve">may </w:t>
      </w:r>
      <w:r>
        <w:rPr>
          <w:rFonts w:ascii="Aptos" w:eastAsia="Aptos" w:hAnsi="Aptos" w:cs="Aptos"/>
        </w:rPr>
        <w:t>now allow the</w:t>
      </w:r>
      <w:r w:rsidR="00F23EC7">
        <w:rPr>
          <w:rFonts w:ascii="Aptos" w:eastAsia="Aptos" w:hAnsi="Aptos" w:cs="Aptos"/>
        </w:rPr>
        <w:t xml:space="preserve"> prescribing practitioner to remotely monitor </w:t>
      </w:r>
      <w:r w:rsidR="00A611E8">
        <w:rPr>
          <w:rFonts w:ascii="Aptos" w:eastAsia="Aptos" w:hAnsi="Aptos" w:cs="Aptos"/>
        </w:rPr>
        <w:t>patients under sedation.</w:t>
      </w:r>
      <w:r w:rsidR="00005A3C">
        <w:rPr>
          <w:rFonts w:ascii="Aptos" w:eastAsia="Aptos" w:hAnsi="Aptos" w:cs="Aptos"/>
        </w:rPr>
        <w:t xml:space="preserve"> </w:t>
      </w:r>
      <w:r w:rsidR="006F59F7">
        <w:rPr>
          <w:rFonts w:ascii="Aptos" w:eastAsia="Aptos" w:hAnsi="Aptos" w:cs="Aptos"/>
        </w:rPr>
        <w:t xml:space="preserve">The </w:t>
      </w:r>
      <w:r w:rsidR="00B06B36">
        <w:rPr>
          <w:rFonts w:ascii="Aptos" w:eastAsia="Aptos" w:hAnsi="Aptos" w:cs="Aptos"/>
        </w:rPr>
        <w:t>a</w:t>
      </w:r>
      <w:r w:rsidR="00005A3C">
        <w:rPr>
          <w:rFonts w:ascii="Aptos" w:eastAsia="Aptos" w:hAnsi="Aptos" w:cs="Aptos"/>
        </w:rPr>
        <w:t>naesthetic technician</w:t>
      </w:r>
      <w:r w:rsidR="006F59F7">
        <w:rPr>
          <w:rFonts w:ascii="Aptos" w:eastAsia="Aptos" w:hAnsi="Aptos" w:cs="Aptos"/>
        </w:rPr>
        <w:t xml:space="preserve"> and prescribing practitioner must work </w:t>
      </w:r>
      <w:r w:rsidR="00971536">
        <w:rPr>
          <w:rFonts w:ascii="Aptos" w:eastAsia="Aptos" w:hAnsi="Aptos" w:cs="Aptos"/>
        </w:rPr>
        <w:t>collaboratively</w:t>
      </w:r>
      <w:r w:rsidR="00647A19">
        <w:rPr>
          <w:rFonts w:ascii="Aptos" w:eastAsia="Aptos" w:hAnsi="Aptos" w:cs="Aptos"/>
        </w:rPr>
        <w:t xml:space="preserve"> to ensure </w:t>
      </w:r>
      <w:r w:rsidR="00005A3C">
        <w:rPr>
          <w:rFonts w:ascii="Aptos" w:eastAsia="Aptos" w:hAnsi="Aptos" w:cs="Aptos"/>
        </w:rPr>
        <w:t>that</w:t>
      </w:r>
      <w:r w:rsidR="007201CC">
        <w:rPr>
          <w:rFonts w:ascii="Aptos" w:eastAsia="Aptos" w:hAnsi="Aptos" w:cs="Aptos"/>
        </w:rPr>
        <w:t xml:space="preserve"> immediate assistance is available to </w:t>
      </w:r>
      <w:r w:rsidR="004C4F89">
        <w:rPr>
          <w:rFonts w:ascii="Aptos" w:eastAsia="Aptos" w:hAnsi="Aptos" w:cs="Aptos"/>
        </w:rPr>
        <w:t>patients under sedation</w:t>
      </w:r>
      <w:r w:rsidR="0066432B">
        <w:rPr>
          <w:rFonts w:ascii="Aptos" w:eastAsia="Aptos" w:hAnsi="Aptos" w:cs="Aptos"/>
        </w:rPr>
        <w:t xml:space="preserve"> and in accordance with local policy. </w:t>
      </w:r>
      <w:r w:rsidR="00B8635C">
        <w:rPr>
          <w:rFonts w:ascii="Aptos" w:eastAsia="Aptos" w:hAnsi="Aptos" w:cs="Aptos"/>
        </w:rPr>
        <w:t xml:space="preserve">The Council has a position on the </w:t>
      </w:r>
      <w:r w:rsidR="005024FA">
        <w:rPr>
          <w:rFonts w:ascii="Aptos" w:eastAsia="Aptos" w:hAnsi="Aptos" w:cs="Aptos"/>
        </w:rPr>
        <w:t>one-on-one</w:t>
      </w:r>
      <w:r w:rsidR="00B8635C">
        <w:rPr>
          <w:rFonts w:ascii="Aptos" w:eastAsia="Aptos" w:hAnsi="Aptos" w:cs="Aptos"/>
        </w:rPr>
        <w:t xml:space="preserve"> care of a patient and anaesthetic technicians need to adhere to this.</w:t>
      </w:r>
      <w:r w:rsidR="00E12DAE">
        <w:rPr>
          <w:rFonts w:ascii="Aptos" w:eastAsia="Aptos" w:hAnsi="Aptos" w:cs="Aptos"/>
        </w:rPr>
        <w:t xml:space="preserve"> </w:t>
      </w:r>
      <w:hyperlink r:id="rId11" w:history="1">
        <w:r w:rsidR="00E12DAE" w:rsidRPr="00E12DAE">
          <w:rPr>
            <w:rStyle w:val="Hyperlink"/>
            <w:rFonts w:ascii="Aptos" w:eastAsia="Aptos" w:hAnsi="Aptos" w:cs="Aptos"/>
          </w:rPr>
          <w:t>2025-Mar-Allocating-AT-Resources.pdf</w:t>
        </w:r>
      </w:hyperlink>
    </w:p>
    <w:p w14:paraId="2087E734" w14:textId="77777777" w:rsidR="00EF5A67" w:rsidRDefault="00EF5A67" w:rsidP="00AC6396">
      <w:pPr>
        <w:spacing w:line="276" w:lineRule="auto"/>
        <w:rPr>
          <w:rFonts w:ascii="Aptos" w:eastAsia="Aptos" w:hAnsi="Aptos" w:cs="Aptos"/>
        </w:rPr>
      </w:pPr>
    </w:p>
    <w:p w14:paraId="5887C9B2" w14:textId="62D07395" w:rsidR="0060676A" w:rsidRPr="0028655A" w:rsidRDefault="007330C3" w:rsidP="00EF5A67">
      <w:pPr>
        <w:pStyle w:val="Heading1"/>
        <w:rPr>
          <w:color w:val="auto"/>
        </w:rPr>
      </w:pPr>
      <w:r w:rsidRPr="0028655A">
        <w:t>Requir</w:t>
      </w:r>
      <w:r w:rsidRPr="0044711E">
        <w:t>em</w:t>
      </w:r>
      <w:r w:rsidRPr="0028655A">
        <w:t>ents</w:t>
      </w:r>
      <w:r w:rsidR="00D43B5B" w:rsidRPr="0028655A">
        <w:rPr>
          <w:color w:val="auto"/>
        </w:rPr>
        <w:t xml:space="preserve"> </w:t>
      </w:r>
      <w:r w:rsidR="00D43B5B" w:rsidRPr="0044711E">
        <w:t>for</w:t>
      </w:r>
      <w:r w:rsidR="003941BE" w:rsidRPr="0044711E">
        <w:t xml:space="preserve"> </w:t>
      </w:r>
      <w:r w:rsidR="000E5264" w:rsidRPr="0044711E">
        <w:t>a</w:t>
      </w:r>
      <w:r w:rsidR="00D43B5B" w:rsidRPr="0044711E">
        <w:t>naesthetic technician</w:t>
      </w:r>
      <w:r w:rsidR="003941BE" w:rsidRPr="0044711E">
        <w:t>s involved in sedation</w:t>
      </w:r>
    </w:p>
    <w:p w14:paraId="1BFD2C7E" w14:textId="77777777" w:rsidR="00457A0C" w:rsidRDefault="0060676A" w:rsidP="00457A0C">
      <w:pPr>
        <w:spacing w:after="0" w:line="240" w:lineRule="auto"/>
      </w:pPr>
      <w:r w:rsidRPr="00442015">
        <w:rPr>
          <w:rFonts w:ascii="Aptos" w:eastAsia="Aptos" w:hAnsi="Aptos" w:cs="Aptos"/>
        </w:rPr>
        <w:t>Anaesthetic technician</w:t>
      </w:r>
      <w:r w:rsidR="001636DC">
        <w:rPr>
          <w:rFonts w:ascii="Aptos" w:eastAsia="Aptos" w:hAnsi="Aptos" w:cs="Aptos"/>
        </w:rPr>
        <w:t>s providing sedation</w:t>
      </w:r>
      <w:r w:rsidRPr="00442015">
        <w:rPr>
          <w:rFonts w:ascii="Aptos" w:eastAsia="Aptos" w:hAnsi="Aptos" w:cs="Aptos"/>
        </w:rPr>
        <w:t xml:space="preserve"> must be working within their level of competence</w:t>
      </w:r>
      <w:r w:rsidR="00DF30D0">
        <w:rPr>
          <w:rFonts w:ascii="Aptos" w:eastAsia="Aptos" w:hAnsi="Aptos" w:cs="Aptos"/>
        </w:rPr>
        <w:t>,</w:t>
      </w:r>
      <w:r w:rsidRPr="00442015">
        <w:rPr>
          <w:rFonts w:ascii="Aptos" w:eastAsia="Aptos" w:hAnsi="Aptos" w:cs="Aptos"/>
        </w:rPr>
        <w:t xml:space="preserve"> </w:t>
      </w:r>
      <w:r w:rsidR="00E27FF2">
        <w:rPr>
          <w:rFonts w:ascii="Aptos" w:eastAsia="Aptos" w:hAnsi="Aptos" w:cs="Aptos"/>
        </w:rPr>
        <w:t>education</w:t>
      </w:r>
      <w:r w:rsidR="00457A0C">
        <w:rPr>
          <w:rFonts w:ascii="Aptos" w:eastAsia="Aptos" w:hAnsi="Aptos" w:cs="Aptos"/>
        </w:rPr>
        <w:t>,</w:t>
      </w:r>
      <w:r w:rsidR="00DF30D0">
        <w:rPr>
          <w:rFonts w:ascii="Aptos" w:eastAsia="Aptos" w:hAnsi="Aptos" w:cs="Aptos"/>
        </w:rPr>
        <w:t xml:space="preserve"> and experience</w:t>
      </w:r>
      <w:r w:rsidRPr="00442015">
        <w:rPr>
          <w:rFonts w:ascii="Aptos" w:eastAsia="Aptos" w:hAnsi="Aptos" w:cs="Aptos"/>
        </w:rPr>
        <w:t>.</w:t>
      </w:r>
      <w:r w:rsidR="00E44966">
        <w:rPr>
          <w:rFonts w:ascii="Aptos" w:eastAsia="Aptos" w:hAnsi="Aptos" w:cs="Aptos"/>
        </w:rPr>
        <w:t xml:space="preserve"> </w:t>
      </w:r>
      <w:r w:rsidR="00E44966">
        <w:t>Anaesthetic technicians providing sedation must i</w:t>
      </w:r>
      <w:r w:rsidR="00E44966" w:rsidRPr="00235D46">
        <w:t xml:space="preserve">dentify the limits of </w:t>
      </w:r>
      <w:r w:rsidR="00E44966">
        <w:t xml:space="preserve">their </w:t>
      </w:r>
      <w:r w:rsidR="00E44966" w:rsidRPr="00235D46">
        <w:t xml:space="preserve">practise and </w:t>
      </w:r>
      <w:r w:rsidR="00E44966">
        <w:t xml:space="preserve">actively </w:t>
      </w:r>
      <w:r w:rsidR="00E44966" w:rsidRPr="00235D46">
        <w:t>seek advice or refer to another professional or service</w:t>
      </w:r>
      <w:r w:rsidR="00E44966">
        <w:t xml:space="preserve"> when this occurs.</w:t>
      </w:r>
    </w:p>
    <w:p w14:paraId="7DBC9D45" w14:textId="4794368A" w:rsidR="00E44966" w:rsidRPr="005D42BE" w:rsidRDefault="00E44966" w:rsidP="00457A0C">
      <w:pPr>
        <w:spacing w:after="0" w:line="240" w:lineRule="auto"/>
      </w:pPr>
      <w:r>
        <w:t xml:space="preserve"> </w:t>
      </w:r>
    </w:p>
    <w:p w14:paraId="5C5B7211" w14:textId="18BD85D8" w:rsidR="001636DC" w:rsidRDefault="0060676A" w:rsidP="00457A0C">
      <w:pPr>
        <w:spacing w:after="0" w:line="240" w:lineRule="auto"/>
      </w:pPr>
      <w:r w:rsidRPr="00442015">
        <w:rPr>
          <w:rFonts w:ascii="Aptos" w:eastAsia="Aptos" w:hAnsi="Aptos" w:cs="Aptos"/>
        </w:rPr>
        <w:t xml:space="preserve">Relevant </w:t>
      </w:r>
      <w:r w:rsidR="00E44966">
        <w:rPr>
          <w:rFonts w:ascii="Aptos" w:eastAsia="Aptos" w:hAnsi="Aptos" w:cs="Aptos"/>
        </w:rPr>
        <w:t xml:space="preserve">internal </w:t>
      </w:r>
      <w:r w:rsidRPr="00442015">
        <w:rPr>
          <w:rFonts w:ascii="Aptos" w:eastAsia="Aptos" w:hAnsi="Aptos" w:cs="Aptos"/>
        </w:rPr>
        <w:t xml:space="preserve">approvals </w:t>
      </w:r>
      <w:r w:rsidR="00E27FF2">
        <w:rPr>
          <w:rFonts w:ascii="Aptos" w:eastAsia="Aptos" w:hAnsi="Aptos" w:cs="Aptos"/>
        </w:rPr>
        <w:t xml:space="preserve">for </w:t>
      </w:r>
      <w:r w:rsidR="00E44966">
        <w:rPr>
          <w:rFonts w:ascii="Aptos" w:eastAsia="Aptos" w:hAnsi="Aptos" w:cs="Aptos"/>
        </w:rPr>
        <w:t>the administration of sedation</w:t>
      </w:r>
      <w:r w:rsidR="00F4350D">
        <w:rPr>
          <w:rFonts w:ascii="Aptos" w:eastAsia="Aptos" w:hAnsi="Aptos" w:cs="Aptos"/>
        </w:rPr>
        <w:t xml:space="preserve"> </w:t>
      </w:r>
      <w:r w:rsidR="00F4350D" w:rsidRPr="00442015">
        <w:rPr>
          <w:rFonts w:ascii="Aptos" w:eastAsia="Aptos" w:hAnsi="Aptos" w:cs="Aptos"/>
        </w:rPr>
        <w:t>must be in place</w:t>
      </w:r>
      <w:r w:rsidR="00E44966">
        <w:rPr>
          <w:rFonts w:ascii="Aptos" w:eastAsia="Aptos" w:hAnsi="Aptos" w:cs="Aptos"/>
        </w:rPr>
        <w:t xml:space="preserve"> </w:t>
      </w:r>
      <w:r w:rsidRPr="00442015">
        <w:rPr>
          <w:rFonts w:ascii="Aptos" w:eastAsia="Aptos" w:hAnsi="Aptos" w:cs="Aptos"/>
        </w:rPr>
        <w:t>from the place of employment</w:t>
      </w:r>
      <w:r w:rsidR="00F4350D">
        <w:rPr>
          <w:rFonts w:ascii="Aptos" w:eastAsia="Aptos" w:hAnsi="Aptos" w:cs="Aptos"/>
        </w:rPr>
        <w:t>. These include</w:t>
      </w:r>
      <w:r w:rsidR="004F673C">
        <w:rPr>
          <w:rFonts w:ascii="Aptos" w:eastAsia="Aptos" w:hAnsi="Aptos" w:cs="Aptos"/>
        </w:rPr>
        <w:t>,</w:t>
      </w:r>
      <w:r w:rsidR="00F4350D">
        <w:rPr>
          <w:rFonts w:ascii="Aptos" w:eastAsia="Aptos" w:hAnsi="Aptos" w:cs="Aptos"/>
        </w:rPr>
        <w:t xml:space="preserve"> but are not limited to</w:t>
      </w:r>
      <w:r w:rsidR="004F673C">
        <w:rPr>
          <w:rFonts w:ascii="Aptos" w:eastAsia="Aptos" w:hAnsi="Aptos" w:cs="Aptos"/>
        </w:rPr>
        <w:t>,</w:t>
      </w:r>
      <w:r w:rsidRPr="00442015">
        <w:rPr>
          <w:rFonts w:ascii="Aptos" w:eastAsia="Aptos" w:hAnsi="Aptos" w:cs="Aptos"/>
        </w:rPr>
        <w:t xml:space="preserve"> the completion of </w:t>
      </w:r>
      <w:r w:rsidR="002D64CB">
        <w:rPr>
          <w:rFonts w:ascii="Aptos" w:eastAsia="Aptos" w:hAnsi="Aptos" w:cs="Aptos"/>
        </w:rPr>
        <w:t>appropriate</w:t>
      </w:r>
      <w:r w:rsidRPr="00442015">
        <w:rPr>
          <w:rFonts w:ascii="Aptos" w:eastAsia="Aptos" w:hAnsi="Aptos" w:cs="Aptos"/>
        </w:rPr>
        <w:t xml:space="preserve"> </w:t>
      </w:r>
      <w:r w:rsidR="00E27FF2">
        <w:rPr>
          <w:rFonts w:ascii="Aptos" w:eastAsia="Aptos" w:hAnsi="Aptos" w:cs="Aptos"/>
        </w:rPr>
        <w:t>education</w:t>
      </w:r>
      <w:r w:rsidR="00E27FF2" w:rsidRPr="00442015">
        <w:rPr>
          <w:rFonts w:ascii="Aptos" w:eastAsia="Aptos" w:hAnsi="Aptos" w:cs="Aptos"/>
        </w:rPr>
        <w:t xml:space="preserve"> </w:t>
      </w:r>
      <w:r w:rsidRPr="00442015">
        <w:rPr>
          <w:rFonts w:ascii="Aptos" w:eastAsia="Aptos" w:hAnsi="Aptos" w:cs="Aptos"/>
        </w:rPr>
        <w:t xml:space="preserve">and credentialing. </w:t>
      </w:r>
    </w:p>
    <w:p w14:paraId="16177C41" w14:textId="32BCF657" w:rsidR="0004081D" w:rsidRPr="007664D7" w:rsidRDefault="0004081D" w:rsidP="00EF5A67">
      <w:pPr>
        <w:pStyle w:val="Heading2"/>
      </w:pPr>
      <w:r w:rsidRPr="007664D7">
        <w:t>Pre-</w:t>
      </w:r>
      <w:r w:rsidR="007E26B7">
        <w:t>s</w:t>
      </w:r>
      <w:r w:rsidRPr="007664D7">
        <w:t xml:space="preserve">edation </w:t>
      </w:r>
      <w:r w:rsidR="007E26B7">
        <w:t>a</w:t>
      </w:r>
      <w:r w:rsidRPr="007664D7">
        <w:t>ssessment</w:t>
      </w:r>
    </w:p>
    <w:p w14:paraId="4FF95215" w14:textId="501DEC85" w:rsidR="00F4350D" w:rsidRDefault="00F4350D" w:rsidP="007E26B7">
      <w:pPr>
        <w:spacing w:after="0" w:line="240" w:lineRule="auto"/>
      </w:pPr>
      <w:r>
        <w:t xml:space="preserve">Prior to the </w:t>
      </w:r>
      <w:r w:rsidR="005C3F9C">
        <w:t>administration of sedation</w:t>
      </w:r>
      <w:r w:rsidR="007664D7">
        <w:t>,</w:t>
      </w:r>
      <w:r w:rsidR="005C3F9C">
        <w:t xml:space="preserve"> the </w:t>
      </w:r>
      <w:r w:rsidR="000E5264">
        <w:t>a</w:t>
      </w:r>
      <w:r w:rsidR="005C3F9C">
        <w:t xml:space="preserve">naesthetic </w:t>
      </w:r>
      <w:r w:rsidR="000E5264">
        <w:t>t</w:t>
      </w:r>
      <w:r w:rsidR="005C3F9C">
        <w:t>echnician must</w:t>
      </w:r>
      <w:r w:rsidR="007664D7">
        <w:t>:</w:t>
      </w:r>
    </w:p>
    <w:p w14:paraId="2421CE16" w14:textId="77777777" w:rsidR="007E26B7" w:rsidRPr="00F4350D" w:rsidRDefault="007E26B7" w:rsidP="007E26B7">
      <w:pPr>
        <w:spacing w:after="0" w:line="240" w:lineRule="auto"/>
      </w:pPr>
    </w:p>
    <w:p w14:paraId="1E0684F5" w14:textId="32320655" w:rsidR="0004081D" w:rsidRPr="001F2ECA" w:rsidRDefault="007330C3" w:rsidP="007E26B7">
      <w:pPr>
        <w:numPr>
          <w:ilvl w:val="0"/>
          <w:numId w:val="9"/>
        </w:numPr>
        <w:spacing w:after="0" w:line="240" w:lineRule="auto"/>
      </w:pPr>
      <w:r w:rsidRPr="001F2ECA">
        <w:t xml:space="preserve">Ensure a </w:t>
      </w:r>
      <w:r w:rsidR="0004081D" w:rsidRPr="003D0040">
        <w:t>thorough patient evaluation</w:t>
      </w:r>
      <w:r w:rsidRPr="003D0040">
        <w:t xml:space="preserve"> has occur</w:t>
      </w:r>
      <w:r w:rsidRPr="001F2ECA">
        <w:t>r</w:t>
      </w:r>
      <w:r w:rsidRPr="003D0040">
        <w:t>ed</w:t>
      </w:r>
      <w:r w:rsidR="0004081D" w:rsidRPr="001F2ECA">
        <w:t>, including medical history, allergies, and previous sedation experiences.</w:t>
      </w:r>
    </w:p>
    <w:p w14:paraId="7B277F72" w14:textId="2C8D99C3" w:rsidR="0004081D" w:rsidRDefault="004C4F89" w:rsidP="007E26B7">
      <w:pPr>
        <w:numPr>
          <w:ilvl w:val="0"/>
          <w:numId w:val="9"/>
        </w:numPr>
        <w:spacing w:after="0" w:line="240" w:lineRule="auto"/>
      </w:pPr>
      <w:r w:rsidRPr="001F2ECA">
        <w:t>Confirm assessment of</w:t>
      </w:r>
      <w:r w:rsidR="0004081D" w:rsidRPr="001F2ECA">
        <w:t xml:space="preserve"> </w:t>
      </w:r>
      <w:r w:rsidR="0004081D" w:rsidRPr="003D0040">
        <w:t>risk factors</w:t>
      </w:r>
      <w:r w:rsidR="0004081D" w:rsidRPr="001F2ECA">
        <w:t xml:space="preserve"> such as airway complications, cardiovascular conditions,</w:t>
      </w:r>
      <w:r w:rsidR="007330C3" w:rsidRPr="001F2ECA">
        <w:t xml:space="preserve"> age, </w:t>
      </w:r>
      <w:r w:rsidR="0004081D" w:rsidRPr="001F2ECA">
        <w:t>and medication interactions.</w:t>
      </w:r>
    </w:p>
    <w:p w14:paraId="610494FF" w14:textId="5FF75EDE" w:rsidR="004F673C" w:rsidRPr="001F2ECA" w:rsidRDefault="00844F5B" w:rsidP="007E26B7">
      <w:pPr>
        <w:numPr>
          <w:ilvl w:val="0"/>
          <w:numId w:val="9"/>
        </w:numPr>
        <w:spacing w:after="0" w:line="240" w:lineRule="auto"/>
      </w:pPr>
      <w:r>
        <w:t>discuss with an anaesthetist s</w:t>
      </w:r>
      <w:r w:rsidR="000F12A9">
        <w:t xml:space="preserve">edation </w:t>
      </w:r>
      <w:r w:rsidR="007E334F">
        <w:t>for</w:t>
      </w:r>
      <w:r w:rsidR="000F12A9">
        <w:t xml:space="preserve"> patients identified as higher-risk</w:t>
      </w:r>
      <w:r>
        <w:t xml:space="preserve">. </w:t>
      </w:r>
      <w:r w:rsidR="00480523">
        <w:t>T</w:t>
      </w:r>
      <w:r w:rsidR="000F12A9">
        <w:t xml:space="preserve">he presence of an anaesthetist should </w:t>
      </w:r>
      <w:r w:rsidR="00480523">
        <w:t xml:space="preserve">also </w:t>
      </w:r>
      <w:r w:rsidR="000F12A9">
        <w:t>be considered</w:t>
      </w:r>
      <w:r w:rsidR="00655257">
        <w:t>,</w:t>
      </w:r>
      <w:r w:rsidR="000F12A9">
        <w:t xml:space="preserve"> especially if moderate sedation is planned. </w:t>
      </w:r>
    </w:p>
    <w:p w14:paraId="35512D74" w14:textId="47F0DF3E" w:rsidR="0004081D" w:rsidRPr="001F2ECA" w:rsidRDefault="0004081D" w:rsidP="007E26B7">
      <w:pPr>
        <w:numPr>
          <w:ilvl w:val="0"/>
          <w:numId w:val="9"/>
        </w:numPr>
        <w:spacing w:after="0" w:line="240" w:lineRule="auto"/>
      </w:pPr>
      <w:r w:rsidRPr="001F2ECA">
        <w:t>Confirm</w:t>
      </w:r>
      <w:r w:rsidR="007330C3" w:rsidRPr="001F2ECA">
        <w:t xml:space="preserve"> and document</w:t>
      </w:r>
      <w:r w:rsidRPr="001F2ECA">
        <w:t xml:space="preserve"> </w:t>
      </w:r>
      <w:r w:rsidRPr="003D0040">
        <w:t>informed consent</w:t>
      </w:r>
      <w:r w:rsidRPr="001F2ECA">
        <w:t xml:space="preserve"> from the patient or their legal representative.</w:t>
      </w:r>
    </w:p>
    <w:p w14:paraId="0A5C13E1" w14:textId="0A5EF8E5" w:rsidR="00D0149E" w:rsidRPr="003D0040" w:rsidRDefault="00D43B5B" w:rsidP="007E26B7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Aptos" w:hAnsi="Aptos" w:cs="Aptos"/>
        </w:rPr>
      </w:pPr>
      <w:r w:rsidRPr="001F2ECA">
        <w:rPr>
          <w:rFonts w:ascii="Aptos" w:eastAsia="Aptos" w:hAnsi="Aptos" w:cs="Aptos"/>
        </w:rPr>
        <w:t>P</w:t>
      </w:r>
      <w:r w:rsidR="00C13D08" w:rsidRPr="001F2ECA">
        <w:rPr>
          <w:rFonts w:ascii="Aptos" w:eastAsia="Aptos" w:hAnsi="Aptos" w:cs="Aptos"/>
        </w:rPr>
        <w:t>repare the equipment, monitoring and other requirements</w:t>
      </w:r>
      <w:r w:rsidRPr="001F2ECA">
        <w:rPr>
          <w:rFonts w:ascii="Aptos" w:eastAsia="Aptos" w:hAnsi="Aptos" w:cs="Aptos"/>
        </w:rPr>
        <w:t xml:space="preserve"> appropriate for the patient and level of </w:t>
      </w:r>
      <w:r w:rsidR="00C13D08" w:rsidRPr="001F2ECA">
        <w:rPr>
          <w:rFonts w:ascii="Aptos" w:eastAsia="Aptos" w:hAnsi="Aptos" w:cs="Aptos"/>
        </w:rPr>
        <w:t>sedation</w:t>
      </w:r>
      <w:r w:rsidRPr="001F2ECA">
        <w:rPr>
          <w:rFonts w:ascii="Aptos" w:eastAsia="Aptos" w:hAnsi="Aptos" w:cs="Aptos"/>
        </w:rPr>
        <w:t>.</w:t>
      </w:r>
      <w:r w:rsidR="00C13D08" w:rsidRPr="001F2ECA">
        <w:rPr>
          <w:rFonts w:ascii="Aptos" w:eastAsia="Aptos" w:hAnsi="Aptos" w:cs="Aptos"/>
        </w:rPr>
        <w:t xml:space="preserve"> </w:t>
      </w:r>
    </w:p>
    <w:p w14:paraId="518D2D21" w14:textId="3EB82696" w:rsidR="00BF32FC" w:rsidRPr="0028655A" w:rsidRDefault="00BF32FC" w:rsidP="00EF5A67">
      <w:pPr>
        <w:pStyle w:val="Heading2"/>
      </w:pPr>
      <w:r w:rsidRPr="0028655A">
        <w:t xml:space="preserve">Sedation </w:t>
      </w:r>
      <w:r w:rsidR="007E26B7">
        <w:t>a</w:t>
      </w:r>
      <w:r w:rsidRPr="0028655A">
        <w:t>dministration</w:t>
      </w:r>
    </w:p>
    <w:p w14:paraId="745929AF" w14:textId="4FDE54FA" w:rsidR="00AE7088" w:rsidRDefault="00AE7088" w:rsidP="007E26B7">
      <w:pPr>
        <w:spacing w:after="0" w:line="240" w:lineRule="auto"/>
      </w:pPr>
      <w:r>
        <w:t>At the time of administration</w:t>
      </w:r>
      <w:r w:rsidR="0028655A">
        <w:t>,</w:t>
      </w:r>
      <w:r>
        <w:t xml:space="preserve"> the </w:t>
      </w:r>
      <w:r w:rsidR="000E5264">
        <w:t>anaesthetic</w:t>
      </w:r>
      <w:r>
        <w:t xml:space="preserve"> technician must</w:t>
      </w:r>
      <w:r w:rsidR="0028655A">
        <w:t>:</w:t>
      </w:r>
    </w:p>
    <w:p w14:paraId="42075617" w14:textId="77777777" w:rsidR="007E26B7" w:rsidRDefault="007E26B7" w:rsidP="007E26B7">
      <w:pPr>
        <w:spacing w:after="0" w:line="240" w:lineRule="auto"/>
      </w:pPr>
    </w:p>
    <w:p w14:paraId="3009220E" w14:textId="0A64A1D4" w:rsidR="00BF32FC" w:rsidRDefault="00BF32FC" w:rsidP="007E26B7">
      <w:pPr>
        <w:numPr>
          <w:ilvl w:val="0"/>
          <w:numId w:val="10"/>
        </w:numPr>
        <w:spacing w:after="0" w:line="240" w:lineRule="auto"/>
      </w:pPr>
      <w:r w:rsidRPr="001F2ECA">
        <w:t xml:space="preserve">Administer sedation </w:t>
      </w:r>
      <w:r w:rsidRPr="003D0040">
        <w:t>only under the supervision of an anaesthetist or</w:t>
      </w:r>
      <w:r w:rsidR="002B6CAD" w:rsidRPr="003D0040">
        <w:t xml:space="preserve"> appropriately</w:t>
      </w:r>
      <w:r w:rsidRPr="003D0040">
        <w:t xml:space="preserve"> qualified medical </w:t>
      </w:r>
      <w:r w:rsidR="00311C80" w:rsidRPr="003D0040">
        <w:t>pr</w:t>
      </w:r>
      <w:r w:rsidR="00311C80">
        <w:t>actitioner</w:t>
      </w:r>
      <w:r w:rsidRPr="001F2ECA">
        <w:t>.</w:t>
      </w:r>
      <w:r w:rsidR="00BF3067">
        <w:t xml:space="preserve"> For moderate levels of sedation, the </w:t>
      </w:r>
      <w:r w:rsidR="00110C23">
        <w:t xml:space="preserve">supervising practitioner must not be the practitioner undertaking the procedure. </w:t>
      </w:r>
    </w:p>
    <w:p w14:paraId="49F835C6" w14:textId="77777777" w:rsidR="007E26B7" w:rsidRPr="001F2ECA" w:rsidRDefault="007E26B7" w:rsidP="007E26B7">
      <w:pPr>
        <w:spacing w:after="0" w:line="240" w:lineRule="auto"/>
        <w:ind w:left="360"/>
      </w:pPr>
    </w:p>
    <w:p w14:paraId="62A5C1BF" w14:textId="03D19E2A" w:rsidR="00311C80" w:rsidRDefault="00992023" w:rsidP="007E26B7">
      <w:pPr>
        <w:numPr>
          <w:ilvl w:val="0"/>
          <w:numId w:val="10"/>
        </w:numPr>
        <w:spacing w:after="0" w:line="240" w:lineRule="auto"/>
      </w:pPr>
      <w:r>
        <w:t xml:space="preserve">Confirm </w:t>
      </w:r>
      <w:r w:rsidR="00646A07">
        <w:t xml:space="preserve">the </w:t>
      </w:r>
      <w:r>
        <w:t xml:space="preserve">appropriateness of </w:t>
      </w:r>
      <w:r w:rsidR="00646A07">
        <w:t>the</w:t>
      </w:r>
      <w:r>
        <w:t xml:space="preserve"> medicine being administered and ensure </w:t>
      </w:r>
      <w:r w:rsidR="00646A07">
        <w:t xml:space="preserve">the </w:t>
      </w:r>
      <w:r>
        <w:t>correct medicine checks</w:t>
      </w:r>
      <w:r w:rsidR="00646A07">
        <w:t xml:space="preserve"> are completed</w:t>
      </w:r>
      <w:r w:rsidR="000E5264">
        <w:t>.</w:t>
      </w:r>
    </w:p>
    <w:p w14:paraId="2582FA94" w14:textId="77777777" w:rsidR="007E26B7" w:rsidRDefault="007E26B7" w:rsidP="007E26B7">
      <w:pPr>
        <w:spacing w:after="0" w:line="240" w:lineRule="auto"/>
      </w:pPr>
    </w:p>
    <w:p w14:paraId="71368D53" w14:textId="0EC787AA" w:rsidR="007F0039" w:rsidRDefault="00BF32FC" w:rsidP="007E26B7">
      <w:pPr>
        <w:numPr>
          <w:ilvl w:val="0"/>
          <w:numId w:val="10"/>
        </w:numPr>
        <w:spacing w:after="0" w:line="240" w:lineRule="auto"/>
      </w:pPr>
      <w:r>
        <w:t xml:space="preserve">Ensure </w:t>
      </w:r>
      <w:r w:rsidR="00C977EF">
        <w:t xml:space="preserve">the </w:t>
      </w:r>
      <w:r>
        <w:t>correct</w:t>
      </w:r>
      <w:r w:rsidR="00962BC8">
        <w:t>ness of the</w:t>
      </w:r>
      <w:r>
        <w:t xml:space="preserve"> </w:t>
      </w:r>
      <w:r w:rsidR="77B3AA01">
        <w:t xml:space="preserve">medicine </w:t>
      </w:r>
      <w:r>
        <w:t>dosage calculations</w:t>
      </w:r>
      <w:r w:rsidR="722D1CDB">
        <w:t xml:space="preserve">, </w:t>
      </w:r>
      <w:r>
        <w:t xml:space="preserve">based on </w:t>
      </w:r>
      <w:r w:rsidR="2690C4BF">
        <w:t xml:space="preserve">the </w:t>
      </w:r>
      <w:r>
        <w:t>patient</w:t>
      </w:r>
      <w:r w:rsidR="50F335FE">
        <w:t>’s</w:t>
      </w:r>
      <w:r>
        <w:t xml:space="preserve"> weight, age, and health status.</w:t>
      </w:r>
    </w:p>
    <w:p w14:paraId="305AA813" w14:textId="77777777" w:rsidR="007E26B7" w:rsidRDefault="007E26B7" w:rsidP="007E26B7">
      <w:pPr>
        <w:spacing w:after="0" w:line="240" w:lineRule="auto"/>
      </w:pPr>
    </w:p>
    <w:p w14:paraId="6F79241D" w14:textId="5567DE49" w:rsidR="00DD14E7" w:rsidRDefault="00DD14E7" w:rsidP="007E26B7">
      <w:pPr>
        <w:numPr>
          <w:ilvl w:val="0"/>
          <w:numId w:val="10"/>
        </w:numPr>
        <w:spacing w:after="0" w:line="240" w:lineRule="auto"/>
      </w:pPr>
      <w:r>
        <w:t>Complete any documentation requirements for the administration of medicines</w:t>
      </w:r>
      <w:r w:rsidR="000E5264">
        <w:t>.</w:t>
      </w:r>
    </w:p>
    <w:p w14:paraId="237D5C23" w14:textId="77777777" w:rsidR="007E26B7" w:rsidRDefault="007E26B7" w:rsidP="007E26B7">
      <w:pPr>
        <w:spacing w:after="0" w:line="240" w:lineRule="auto"/>
        <w:ind w:left="360"/>
      </w:pPr>
    </w:p>
    <w:p w14:paraId="52F9FF71" w14:textId="0A9753E6" w:rsidR="00C977EF" w:rsidRPr="001F2ECA" w:rsidRDefault="00C977EF" w:rsidP="007E26B7">
      <w:pPr>
        <w:spacing w:after="0" w:line="240" w:lineRule="auto"/>
        <w:ind w:left="360"/>
      </w:pPr>
      <w:r>
        <w:t xml:space="preserve">The </w:t>
      </w:r>
      <w:r w:rsidR="007817FD">
        <w:t>a</w:t>
      </w:r>
      <w:r>
        <w:t xml:space="preserve">naesthetic </w:t>
      </w:r>
      <w:r w:rsidR="007817FD">
        <w:t>t</w:t>
      </w:r>
      <w:r>
        <w:t>echnician must not administer sedation if there are any</w:t>
      </w:r>
      <w:r w:rsidR="00191A49">
        <w:t xml:space="preserve"> </w:t>
      </w:r>
      <w:r w:rsidR="00962BC8">
        <w:t xml:space="preserve">incomplete </w:t>
      </w:r>
      <w:r>
        <w:t>questions or concerns</w:t>
      </w:r>
      <w:r w:rsidR="00191A49">
        <w:t xml:space="preserve"> identified</w:t>
      </w:r>
      <w:r w:rsidR="007F0039">
        <w:t>.</w:t>
      </w:r>
    </w:p>
    <w:p w14:paraId="0C0128BB" w14:textId="1F0FB7D0" w:rsidR="00F467FB" w:rsidRPr="000E5264" w:rsidRDefault="00F467FB" w:rsidP="007E26B7">
      <w:pPr>
        <w:pStyle w:val="Heading2"/>
      </w:pPr>
      <w:r w:rsidRPr="000E5264">
        <w:t>Intra-</w:t>
      </w:r>
      <w:r w:rsidR="007E26B7">
        <w:t>s</w:t>
      </w:r>
      <w:r w:rsidRPr="000E5264">
        <w:t xml:space="preserve">edation </w:t>
      </w:r>
      <w:r w:rsidR="007E26B7">
        <w:t>m</w:t>
      </w:r>
      <w:r w:rsidRPr="000E5264">
        <w:t>onitoring</w:t>
      </w:r>
    </w:p>
    <w:p w14:paraId="05D0388D" w14:textId="17AE501A" w:rsidR="00FD3AF5" w:rsidRDefault="00FD3AF5" w:rsidP="007E26B7">
      <w:pPr>
        <w:spacing w:after="0" w:line="240" w:lineRule="auto"/>
      </w:pPr>
      <w:r>
        <w:t xml:space="preserve">While the patient is under sedation the </w:t>
      </w:r>
      <w:r w:rsidR="000E5264">
        <w:t>a</w:t>
      </w:r>
      <w:r>
        <w:t xml:space="preserve">naesthetic </w:t>
      </w:r>
      <w:r w:rsidR="000E5264">
        <w:t>t</w:t>
      </w:r>
      <w:r>
        <w:t>echnician must</w:t>
      </w:r>
      <w:r w:rsidR="000E5264">
        <w:t>:</w:t>
      </w:r>
    </w:p>
    <w:p w14:paraId="4C67A6EE" w14:textId="77777777" w:rsidR="007E26B7" w:rsidRDefault="007E26B7" w:rsidP="007E26B7">
      <w:pPr>
        <w:spacing w:after="0" w:line="240" w:lineRule="auto"/>
      </w:pPr>
    </w:p>
    <w:p w14:paraId="23843CB1" w14:textId="083C2125" w:rsidR="00F467FB" w:rsidRDefault="00F467FB" w:rsidP="007E26B7">
      <w:pPr>
        <w:numPr>
          <w:ilvl w:val="0"/>
          <w:numId w:val="11"/>
        </w:numPr>
        <w:spacing w:after="0" w:line="240" w:lineRule="auto"/>
      </w:pPr>
      <w:r w:rsidRPr="00C470A6">
        <w:t xml:space="preserve">Maintain </w:t>
      </w:r>
      <w:r w:rsidRPr="003D0040">
        <w:t xml:space="preserve">continuous patient </w:t>
      </w:r>
      <w:r w:rsidR="00E31B7E">
        <w:t>monitoring</w:t>
      </w:r>
      <w:r w:rsidRPr="00C470A6">
        <w:t xml:space="preserve"> to detect signs of over-sedation or adverse reactions.</w:t>
      </w:r>
    </w:p>
    <w:p w14:paraId="0CE37E47" w14:textId="77777777" w:rsidR="007E26B7" w:rsidRPr="00C470A6" w:rsidRDefault="007E26B7" w:rsidP="007E26B7">
      <w:pPr>
        <w:spacing w:after="0" w:line="240" w:lineRule="auto"/>
        <w:ind w:left="720"/>
      </w:pPr>
    </w:p>
    <w:p w14:paraId="231912F7" w14:textId="4D1CA2B9" w:rsidR="00F467FB" w:rsidRDefault="00F467FB" w:rsidP="007E26B7">
      <w:pPr>
        <w:numPr>
          <w:ilvl w:val="0"/>
          <w:numId w:val="11"/>
        </w:numPr>
        <w:spacing w:after="0" w:line="240" w:lineRule="auto"/>
      </w:pPr>
      <w:r w:rsidRPr="00C470A6">
        <w:t xml:space="preserve">Be prepared to </w:t>
      </w:r>
      <w:r w:rsidRPr="003D0040">
        <w:t>manage airway emergencies</w:t>
      </w:r>
      <w:r w:rsidR="00EB30F3">
        <w:t xml:space="preserve"> in conjunction with the prescribing practitioner</w:t>
      </w:r>
      <w:r w:rsidR="009B00D8">
        <w:t xml:space="preserve">. </w:t>
      </w:r>
      <w:r w:rsidR="00044204">
        <w:t>These</w:t>
      </w:r>
      <w:r w:rsidRPr="00C470A6">
        <w:t xml:space="preserve"> includ</w:t>
      </w:r>
      <w:r w:rsidR="009B00D8">
        <w:t>e</w:t>
      </w:r>
      <w:r w:rsidRPr="00C470A6">
        <w:t xml:space="preserve"> suctioning and oxygen supplementation.</w:t>
      </w:r>
    </w:p>
    <w:p w14:paraId="7D595AA9" w14:textId="77777777" w:rsidR="007E26B7" w:rsidRPr="00C470A6" w:rsidRDefault="007E26B7" w:rsidP="007E26B7">
      <w:pPr>
        <w:spacing w:after="0" w:line="240" w:lineRule="auto"/>
      </w:pPr>
    </w:p>
    <w:p w14:paraId="5C876957" w14:textId="39C45BAD" w:rsidR="009D2215" w:rsidRPr="00C470A6" w:rsidRDefault="009D2215" w:rsidP="007E26B7">
      <w:pPr>
        <w:numPr>
          <w:ilvl w:val="0"/>
          <w:numId w:val="11"/>
        </w:numPr>
        <w:spacing w:after="0" w:line="240" w:lineRule="auto"/>
      </w:pPr>
      <w:r w:rsidRPr="00C470A6">
        <w:t>Ensure adequate support is available to escalate any emergency including</w:t>
      </w:r>
      <w:r w:rsidR="00F467FB" w:rsidRPr="00C470A6">
        <w:t xml:space="preserve"> access to </w:t>
      </w:r>
      <w:r w:rsidR="00F467FB" w:rsidRPr="003D0040">
        <w:t>reversal agents</w:t>
      </w:r>
      <w:r w:rsidR="00F467FB" w:rsidRPr="00C470A6">
        <w:t xml:space="preserve"> and emergency resuscitation equipment</w:t>
      </w:r>
      <w:r w:rsidR="00E31B7E">
        <w:t xml:space="preserve"> where required</w:t>
      </w:r>
      <w:r w:rsidR="007817FD">
        <w:t>.</w:t>
      </w:r>
    </w:p>
    <w:p w14:paraId="5B3DC1DB" w14:textId="007BBE89" w:rsidR="00A04770" w:rsidRPr="002129C4" w:rsidRDefault="00A04770" w:rsidP="007E26B7">
      <w:pPr>
        <w:pStyle w:val="Heading2"/>
      </w:pPr>
      <w:r w:rsidRPr="002129C4">
        <w:t>Post-</w:t>
      </w:r>
      <w:r w:rsidR="007E26B7">
        <w:t>s</w:t>
      </w:r>
      <w:r w:rsidRPr="002129C4">
        <w:t xml:space="preserve">edation </w:t>
      </w:r>
      <w:r w:rsidR="007E26B7">
        <w:t>c</w:t>
      </w:r>
      <w:r w:rsidRPr="002129C4">
        <w:t>are</w:t>
      </w:r>
    </w:p>
    <w:p w14:paraId="2A4AE582" w14:textId="0F439EF6" w:rsidR="00D8677C" w:rsidRDefault="00D8677C" w:rsidP="007E26B7">
      <w:pPr>
        <w:spacing w:after="0" w:line="240" w:lineRule="auto"/>
      </w:pPr>
      <w:r>
        <w:t>After the sedation has ended the anaesthetic technician must</w:t>
      </w:r>
      <w:r w:rsidR="002129C4">
        <w:t>:</w:t>
      </w:r>
      <w:r>
        <w:t xml:space="preserve"> </w:t>
      </w:r>
    </w:p>
    <w:p w14:paraId="73A7CFEC" w14:textId="77777777" w:rsidR="007E26B7" w:rsidRDefault="007E26B7" w:rsidP="007E26B7">
      <w:pPr>
        <w:spacing w:after="0" w:line="240" w:lineRule="auto"/>
      </w:pPr>
    </w:p>
    <w:p w14:paraId="6B42CBD8" w14:textId="76BBA584" w:rsidR="00A04770" w:rsidRDefault="00A04770" w:rsidP="007E26B7">
      <w:pPr>
        <w:numPr>
          <w:ilvl w:val="0"/>
          <w:numId w:val="12"/>
        </w:numPr>
        <w:spacing w:after="0" w:line="240" w:lineRule="auto"/>
      </w:pPr>
      <w:r w:rsidRPr="00E31B7E">
        <w:t xml:space="preserve">Monitor </w:t>
      </w:r>
      <w:r w:rsidR="00D8677C">
        <w:t xml:space="preserve">the </w:t>
      </w:r>
      <w:r>
        <w:t>patient</w:t>
      </w:r>
      <w:r w:rsidR="00D8677C">
        <w:t>’s</w:t>
      </w:r>
      <w:r>
        <w:t xml:space="preserve"> </w:t>
      </w:r>
      <w:r w:rsidRPr="00E31B7E">
        <w:t xml:space="preserve">recovery until they meet </w:t>
      </w:r>
      <w:r w:rsidRPr="003D0040">
        <w:t>discharge</w:t>
      </w:r>
      <w:r w:rsidR="0058625A">
        <w:t xml:space="preserve"> or handover</w:t>
      </w:r>
      <w:r w:rsidRPr="003D0040">
        <w:t xml:space="preserve"> criteria</w:t>
      </w:r>
      <w:r w:rsidR="00D8677C">
        <w:t xml:space="preserve">. </w:t>
      </w:r>
      <w:r w:rsidR="008D3E17">
        <w:t>This includes</w:t>
      </w:r>
      <w:r>
        <w:t xml:space="preserve"> </w:t>
      </w:r>
      <w:r w:rsidR="3F3A37D6">
        <w:t xml:space="preserve">the patient </w:t>
      </w:r>
      <w:r w:rsidR="008D3E17">
        <w:t xml:space="preserve">having </w:t>
      </w:r>
      <w:r w:rsidRPr="00E31B7E">
        <w:t xml:space="preserve">stable vital signs and </w:t>
      </w:r>
      <w:r w:rsidR="008D3E17">
        <w:t xml:space="preserve">being </w:t>
      </w:r>
      <w:r>
        <w:t>full</w:t>
      </w:r>
      <w:r w:rsidR="008D3E17">
        <w:t>y</w:t>
      </w:r>
      <w:r w:rsidRPr="00E31B7E">
        <w:t xml:space="preserve"> conscious.</w:t>
      </w:r>
    </w:p>
    <w:p w14:paraId="495C6497" w14:textId="77777777" w:rsidR="007E26B7" w:rsidRPr="00E31B7E" w:rsidRDefault="007E26B7" w:rsidP="007E26B7">
      <w:pPr>
        <w:spacing w:after="0" w:line="240" w:lineRule="auto"/>
        <w:ind w:left="720"/>
      </w:pPr>
    </w:p>
    <w:p w14:paraId="7C92FCC6" w14:textId="283134EB" w:rsidR="00A04770" w:rsidRDefault="00A04770" w:rsidP="007E26B7">
      <w:pPr>
        <w:numPr>
          <w:ilvl w:val="0"/>
          <w:numId w:val="12"/>
        </w:numPr>
        <w:spacing w:after="0" w:line="240" w:lineRule="auto"/>
      </w:pPr>
      <w:r w:rsidRPr="00E31B7E">
        <w:t xml:space="preserve">Provide </w:t>
      </w:r>
      <w:r w:rsidRPr="003D0040">
        <w:t xml:space="preserve">post-sedation </w:t>
      </w:r>
      <w:r w:rsidR="00D532A6" w:rsidRPr="003D0040">
        <w:t>care and instructions</w:t>
      </w:r>
      <w:r w:rsidRPr="00E31B7E">
        <w:t>, including activity restrictions and follow-up car</w:t>
      </w:r>
      <w:r w:rsidR="00D20FC8">
        <w:t xml:space="preserve">e in conjunction with the </w:t>
      </w:r>
      <w:r w:rsidR="004A1FB7">
        <w:t xml:space="preserve">procedural team. </w:t>
      </w:r>
    </w:p>
    <w:p w14:paraId="29B2CFBD" w14:textId="77777777" w:rsidR="007E26B7" w:rsidRPr="00E31B7E" w:rsidRDefault="007E26B7" w:rsidP="007E26B7">
      <w:pPr>
        <w:spacing w:after="0" w:line="240" w:lineRule="auto"/>
      </w:pPr>
    </w:p>
    <w:p w14:paraId="7FF13BE4" w14:textId="22164933" w:rsidR="007E26B7" w:rsidRDefault="00A04770" w:rsidP="007E26B7">
      <w:pPr>
        <w:numPr>
          <w:ilvl w:val="0"/>
          <w:numId w:val="12"/>
        </w:numPr>
        <w:spacing w:after="0" w:line="240" w:lineRule="auto"/>
      </w:pPr>
      <w:r w:rsidRPr="00E31B7E">
        <w:t>Document all sedation procedures, patient responses, and any complications encountered.</w:t>
      </w:r>
      <w:r w:rsidR="00863F42">
        <w:t xml:space="preserve"> </w:t>
      </w:r>
      <w:r w:rsidR="00863F42" w:rsidRPr="00863F42">
        <w:t xml:space="preserve">Where a technician has administered medicines under a verbal order </w:t>
      </w:r>
      <w:r w:rsidR="006C6849" w:rsidRPr="00863F42">
        <w:t>th</w:t>
      </w:r>
      <w:r w:rsidR="006C6849">
        <w:t>e prescription</w:t>
      </w:r>
      <w:r w:rsidR="006C6849" w:rsidRPr="00863F42">
        <w:t xml:space="preserve"> </w:t>
      </w:r>
      <w:r w:rsidR="00863F42" w:rsidRPr="00863F42">
        <w:t>must be signed by the prescriber.</w:t>
      </w:r>
      <w:r w:rsidR="004F7607">
        <w:t xml:space="preserve"> Complete procedures for standing orders must also be followed. </w:t>
      </w:r>
    </w:p>
    <w:p w14:paraId="5A761ADB" w14:textId="77777777" w:rsidR="007E26B7" w:rsidRPr="00EF5A67" w:rsidRDefault="007E26B7" w:rsidP="007E26B7">
      <w:pPr>
        <w:spacing w:after="0" w:line="240" w:lineRule="auto"/>
      </w:pPr>
    </w:p>
    <w:p w14:paraId="36FBAB47" w14:textId="73D4C745" w:rsidR="00BA6107" w:rsidRPr="00EF5A67" w:rsidRDefault="00D86393" w:rsidP="00EF5A67">
      <w:pPr>
        <w:pStyle w:val="Heading1"/>
      </w:pPr>
      <w:r w:rsidRPr="002129C4">
        <w:t>References</w:t>
      </w:r>
    </w:p>
    <w:p w14:paraId="19F724AE" w14:textId="1008A702" w:rsidR="00AB347B" w:rsidRPr="005D42BE" w:rsidRDefault="00C37B01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Fonts w:ascii="Aptos" w:eastAsia="Aptos" w:hAnsi="Aptos" w:cs="Aptos"/>
        </w:rPr>
      </w:pPr>
      <w:hyperlink r:id="rId12">
        <w:r w:rsidR="180A978A" w:rsidRPr="005D42BE">
          <w:rPr>
            <w:rStyle w:val="Hyperlink"/>
            <w:rFonts w:ascii="Aptos" w:eastAsia="Aptos" w:hAnsi="Aptos" w:cs="Aptos"/>
          </w:rPr>
          <w:t>ANZCA: (PSO7)</w:t>
        </w:r>
        <w:r w:rsidR="00AB1424">
          <w:rPr>
            <w:rStyle w:val="Hyperlink"/>
            <w:rFonts w:ascii="Aptos" w:eastAsia="Aptos" w:hAnsi="Aptos" w:cs="Aptos"/>
          </w:rPr>
          <w:t xml:space="preserve"> Guideline</w:t>
        </w:r>
        <w:r w:rsidR="180A978A" w:rsidRPr="005D42BE">
          <w:rPr>
            <w:rStyle w:val="Hyperlink"/>
            <w:rFonts w:ascii="Aptos" w:eastAsia="Aptos" w:hAnsi="Aptos" w:cs="Aptos"/>
          </w:rPr>
          <w:t xml:space="preserve"> </w:t>
        </w:r>
        <w:r w:rsidR="00AB1424">
          <w:rPr>
            <w:rStyle w:val="Hyperlink"/>
            <w:rFonts w:ascii="Aptos" w:eastAsia="Aptos" w:hAnsi="Aptos" w:cs="Aptos"/>
          </w:rPr>
          <w:t>on</w:t>
        </w:r>
        <w:r w:rsidR="180A978A" w:rsidRPr="005D42BE">
          <w:rPr>
            <w:rStyle w:val="Hyperlink"/>
            <w:rFonts w:ascii="Aptos" w:eastAsia="Aptos" w:hAnsi="Aptos" w:cs="Aptos"/>
          </w:rPr>
          <w:t xml:space="preserve"> pre-anaesthesia consultation</w:t>
        </w:r>
      </w:hyperlink>
      <w:r w:rsidR="00AB1424">
        <w:rPr>
          <w:rStyle w:val="Hyperlink"/>
          <w:rFonts w:ascii="Aptos" w:eastAsia="Aptos" w:hAnsi="Aptos" w:cs="Aptos"/>
        </w:rPr>
        <w:t xml:space="preserve"> and </w:t>
      </w:r>
      <w:r w:rsidR="002D4581">
        <w:rPr>
          <w:rStyle w:val="Hyperlink"/>
          <w:rFonts w:ascii="Aptos" w:eastAsia="Aptos" w:hAnsi="Aptos" w:cs="Aptos"/>
        </w:rPr>
        <w:t>patient preparation</w:t>
      </w:r>
    </w:p>
    <w:p w14:paraId="1C42C7F4" w14:textId="72B59BD5" w:rsidR="00AB347B" w:rsidRPr="003D0040" w:rsidRDefault="00C37B01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Style w:val="Hyperlink"/>
          <w:rFonts w:ascii="Aptos" w:eastAsia="Aptos" w:hAnsi="Aptos" w:cs="Aptos"/>
          <w:color w:val="auto"/>
          <w:u w:val="none"/>
        </w:rPr>
      </w:pPr>
      <w:hyperlink r:id="rId13">
        <w:r w:rsidR="00CC7E64">
          <w:rPr>
            <w:rStyle w:val="Hyperlink"/>
            <w:rFonts w:ascii="Aptos" w:eastAsia="Aptos" w:hAnsi="Aptos" w:cs="Aptos"/>
          </w:rPr>
          <w:t>ANZCA: (P</w:t>
        </w:r>
        <w:r w:rsidR="00724624">
          <w:rPr>
            <w:rStyle w:val="Hyperlink"/>
            <w:rFonts w:ascii="Aptos" w:eastAsia="Aptos" w:hAnsi="Aptos" w:cs="Aptos"/>
          </w:rPr>
          <w:t>G</w:t>
        </w:r>
        <w:r w:rsidR="00CC7E64">
          <w:rPr>
            <w:rStyle w:val="Hyperlink"/>
            <w:rFonts w:ascii="Aptos" w:eastAsia="Aptos" w:hAnsi="Aptos" w:cs="Aptos"/>
          </w:rPr>
          <w:t xml:space="preserve">09) </w:t>
        </w:r>
        <w:r w:rsidR="001C17BB">
          <w:rPr>
            <w:rStyle w:val="Hyperlink"/>
            <w:rFonts w:ascii="Aptos" w:eastAsia="Aptos" w:hAnsi="Aptos" w:cs="Aptos"/>
          </w:rPr>
          <w:t>P</w:t>
        </w:r>
        <w:r w:rsidR="00CC7E64">
          <w:rPr>
            <w:rStyle w:val="Hyperlink"/>
            <w:rFonts w:ascii="Aptos" w:eastAsia="Aptos" w:hAnsi="Aptos" w:cs="Aptos"/>
          </w:rPr>
          <w:t>rocedural sedation</w:t>
        </w:r>
      </w:hyperlink>
      <w:r w:rsidR="001C17BB">
        <w:rPr>
          <w:rStyle w:val="Hyperlink"/>
          <w:rFonts w:ascii="Aptos" w:eastAsia="Aptos" w:hAnsi="Aptos" w:cs="Aptos"/>
        </w:rPr>
        <w:t xml:space="preserve"> (2023)</w:t>
      </w:r>
    </w:p>
    <w:p w14:paraId="3B5A2DE5" w14:textId="0F4DB2E5" w:rsidR="00AB347B" w:rsidRPr="005D42BE" w:rsidRDefault="00C37B01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Fonts w:ascii="Aptos" w:eastAsia="Aptos" w:hAnsi="Aptos" w:cs="Aptos"/>
        </w:rPr>
      </w:pPr>
      <w:hyperlink r:id="rId14">
        <w:r w:rsidR="00E73836">
          <w:rPr>
            <w:rStyle w:val="Hyperlink"/>
            <w:rFonts w:ascii="Aptos" w:eastAsia="Aptos" w:hAnsi="Aptos" w:cs="Aptos"/>
          </w:rPr>
          <w:t>ANZCA: (PS19) Position statement on monitored care by an anaesthetist</w:t>
        </w:r>
      </w:hyperlink>
    </w:p>
    <w:p w14:paraId="6D08573A" w14:textId="32D4ADD8" w:rsidR="0058462E" w:rsidRPr="0058462E" w:rsidRDefault="00C37B01" w:rsidP="0058462E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Style w:val="Hyperlink"/>
          <w:rFonts w:ascii="Aptos" w:eastAsia="Aptos" w:hAnsi="Aptos" w:cs="Aptos"/>
          <w:color w:val="auto"/>
          <w:u w:val="none"/>
        </w:rPr>
      </w:pPr>
      <w:hyperlink r:id="rId15">
        <w:r w:rsidR="008D1D92">
          <w:rPr>
            <w:rStyle w:val="Hyperlink"/>
            <w:rFonts w:ascii="Aptos" w:eastAsia="Aptos" w:hAnsi="Aptos" w:cs="Aptos"/>
          </w:rPr>
          <w:t>ANZCA</w:t>
        </w:r>
        <w:r w:rsidR="00E73836">
          <w:rPr>
            <w:rStyle w:val="Hyperlink"/>
            <w:rFonts w:ascii="Aptos" w:eastAsia="Aptos" w:hAnsi="Aptos" w:cs="Aptos"/>
          </w:rPr>
          <w:t>:</w:t>
        </w:r>
        <w:r w:rsidR="008D1D92">
          <w:rPr>
            <w:rStyle w:val="Hyperlink"/>
            <w:rFonts w:ascii="Aptos" w:eastAsia="Aptos" w:hAnsi="Aptos" w:cs="Aptos"/>
          </w:rPr>
          <w:t xml:space="preserve"> (PG51(A)) Guideline for the safe management and use of medication</w:t>
        </w:r>
        <w:r w:rsidR="00D87232">
          <w:rPr>
            <w:rStyle w:val="Hyperlink"/>
            <w:rFonts w:ascii="Aptos" w:eastAsia="Aptos" w:hAnsi="Aptos" w:cs="Aptos"/>
          </w:rPr>
          <w:t>s</w:t>
        </w:r>
        <w:r w:rsidR="008D1D92">
          <w:rPr>
            <w:rStyle w:val="Hyperlink"/>
            <w:rFonts w:ascii="Aptos" w:eastAsia="Aptos" w:hAnsi="Aptos" w:cs="Aptos"/>
          </w:rPr>
          <w:t xml:space="preserve"> during anaesthesia</w:t>
        </w:r>
      </w:hyperlink>
    </w:p>
    <w:p w14:paraId="1538C10E" w14:textId="08F6542F" w:rsidR="003F045F" w:rsidRPr="0058462E" w:rsidRDefault="00C37B01" w:rsidP="0058462E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Fonts w:ascii="Aptos" w:eastAsia="Aptos" w:hAnsi="Aptos" w:cs="Aptos"/>
        </w:rPr>
      </w:pPr>
      <w:hyperlink r:id="rId16" w:anchor="DLM53789" w:history="1">
        <w:r w:rsidR="003F045F" w:rsidRPr="0058462E">
          <w:rPr>
            <w:rStyle w:val="Hyperlink"/>
            <w:rFonts w:ascii="Aptos" w:eastAsia="Aptos" w:hAnsi="Aptos" w:cs="Aptos"/>
          </w:rPr>
          <w:t>Medicines Act 1981</w:t>
        </w:r>
      </w:hyperlink>
    </w:p>
    <w:p w14:paraId="02011688" w14:textId="74074933" w:rsidR="00B847D9" w:rsidRPr="003D0040" w:rsidRDefault="00C37B01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Style w:val="Hyperlink"/>
          <w:rFonts w:ascii="Aptos" w:eastAsia="Aptos" w:hAnsi="Aptos" w:cs="Aptos"/>
          <w:color w:val="auto"/>
          <w:u w:val="none"/>
        </w:rPr>
      </w:pPr>
      <w:hyperlink r:id="rId17">
        <w:r w:rsidR="003F045F">
          <w:rPr>
            <w:rStyle w:val="Hyperlink"/>
            <w:rFonts w:ascii="Aptos" w:eastAsia="Aptos" w:hAnsi="Aptos" w:cs="Aptos"/>
          </w:rPr>
          <w:t>Medicines Regulation</w:t>
        </w:r>
        <w:r w:rsidR="0058462E">
          <w:rPr>
            <w:rStyle w:val="Hyperlink"/>
            <w:rFonts w:ascii="Aptos" w:eastAsia="Aptos" w:hAnsi="Aptos" w:cs="Aptos"/>
          </w:rPr>
          <w:t>s</w:t>
        </w:r>
        <w:r w:rsidR="003F045F">
          <w:rPr>
            <w:rStyle w:val="Hyperlink"/>
            <w:rFonts w:ascii="Aptos" w:eastAsia="Aptos" w:hAnsi="Aptos" w:cs="Aptos"/>
          </w:rPr>
          <w:t xml:space="preserve"> 1984</w:t>
        </w:r>
      </w:hyperlink>
    </w:p>
    <w:p w14:paraId="0909F170" w14:textId="4ADF8CF7" w:rsidR="00BF4900" w:rsidRPr="00C01D92" w:rsidRDefault="00C37B01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Style w:val="Hyperlink"/>
          <w:rFonts w:ascii="Aptos" w:eastAsia="Aptos" w:hAnsi="Aptos" w:cs="Aptos"/>
          <w:color w:val="auto"/>
          <w:u w:val="none"/>
        </w:rPr>
      </w:pPr>
      <w:hyperlink r:id="rId18" w:history="1">
        <w:r w:rsidR="00BC672A">
          <w:rPr>
            <w:rStyle w:val="Hyperlink"/>
          </w:rPr>
          <w:t>ANZCA: (P</w:t>
        </w:r>
        <w:r w:rsidR="009A1E82">
          <w:rPr>
            <w:rStyle w:val="Hyperlink"/>
          </w:rPr>
          <w:t>G18</w:t>
        </w:r>
        <w:r w:rsidR="00BC672A">
          <w:rPr>
            <w:rStyle w:val="Hyperlink"/>
          </w:rPr>
          <w:t>)</w:t>
        </w:r>
        <w:r w:rsidR="009A1E82">
          <w:rPr>
            <w:rStyle w:val="Hyperlink"/>
          </w:rPr>
          <w:t xml:space="preserve"> Guideline on monitoring during </w:t>
        </w:r>
        <w:r w:rsidR="00BC672A">
          <w:rPr>
            <w:rStyle w:val="Hyperlink"/>
          </w:rPr>
          <w:t>a</w:t>
        </w:r>
        <w:r w:rsidR="009A1E82">
          <w:rPr>
            <w:rStyle w:val="Hyperlink"/>
          </w:rPr>
          <w:t>naesthesia</w:t>
        </w:r>
      </w:hyperlink>
    </w:p>
    <w:p w14:paraId="2CA8EFF2" w14:textId="4B5498D9" w:rsidR="004F7607" w:rsidRPr="003D0040" w:rsidRDefault="00586086" w:rsidP="00EE36FD">
      <w:pPr>
        <w:pStyle w:val="ListParagraph"/>
        <w:numPr>
          <w:ilvl w:val="0"/>
          <w:numId w:val="5"/>
        </w:numPr>
        <w:spacing w:after="0" w:line="259" w:lineRule="auto"/>
        <w:ind w:right="146"/>
        <w:rPr>
          <w:rFonts w:ascii="Aptos" w:eastAsia="Aptos" w:hAnsi="Aptos" w:cs="Aptos"/>
        </w:rPr>
      </w:pPr>
      <w:hyperlink r:id="rId19" w:history="1">
        <w:r>
          <w:rPr>
            <w:rStyle w:val="Hyperlink"/>
          </w:rPr>
          <w:t>Standing Order Guidelines | Ministry of Health NZ</w:t>
        </w:r>
      </w:hyperlink>
    </w:p>
    <w:p w14:paraId="1C4B8301" w14:textId="0C15D5C6" w:rsidR="001141D7" w:rsidRPr="00EE36FD" w:rsidRDefault="001141D7" w:rsidP="00EF5A67">
      <w:pPr>
        <w:pStyle w:val="Heading1"/>
        <w:rPr>
          <w:color w:val="auto"/>
        </w:rPr>
      </w:pPr>
      <w:r w:rsidRPr="0044711E">
        <w:t>Definitions</w:t>
      </w:r>
    </w:p>
    <w:p w14:paraId="17ED6D52" w14:textId="79A23C0B" w:rsidR="001141D7" w:rsidRPr="007E26B7" w:rsidRDefault="001141D7" w:rsidP="007E26B7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7E26B7">
        <w:rPr>
          <w:rFonts w:ascii="Aptos" w:eastAsia="Aptos" w:hAnsi="Aptos" w:cs="Aptos"/>
          <w:b/>
          <w:bCs/>
          <w:sz w:val="28"/>
          <w:szCs w:val="28"/>
        </w:rPr>
        <w:t xml:space="preserve">Appropriately qualified prescribing practitioner </w:t>
      </w:r>
    </w:p>
    <w:p w14:paraId="0A879FDC" w14:textId="4510D8B1" w:rsidR="001141D7" w:rsidRDefault="001141D7" w:rsidP="007E26B7">
      <w:pPr>
        <w:spacing w:after="0" w:line="240" w:lineRule="auto"/>
        <w:rPr>
          <w:rFonts w:ascii="Aptos" w:eastAsia="Aptos" w:hAnsi="Aptos" w:cs="Aptos"/>
        </w:rPr>
      </w:pPr>
      <w:r w:rsidRPr="005D42BE">
        <w:rPr>
          <w:rFonts w:ascii="Aptos" w:eastAsia="Aptos" w:hAnsi="Aptos" w:cs="Aptos"/>
        </w:rPr>
        <w:t>A health practitioner who may prescribe anaesthetic</w:t>
      </w:r>
      <w:r w:rsidR="0058625A">
        <w:rPr>
          <w:rFonts w:ascii="Aptos" w:eastAsia="Aptos" w:hAnsi="Aptos" w:cs="Aptos"/>
        </w:rPr>
        <w:t xml:space="preserve"> or sedating</w:t>
      </w:r>
      <w:r w:rsidRPr="005D42BE">
        <w:rPr>
          <w:rFonts w:ascii="Aptos" w:eastAsia="Aptos" w:hAnsi="Aptos" w:cs="Aptos"/>
        </w:rPr>
        <w:t xml:space="preserve"> medicines</w:t>
      </w:r>
      <w:r w:rsidR="0032429E">
        <w:rPr>
          <w:rFonts w:ascii="Aptos" w:eastAsia="Aptos" w:hAnsi="Aptos" w:cs="Aptos"/>
        </w:rPr>
        <w:t xml:space="preserve"> within their scope of practice</w:t>
      </w:r>
      <w:r w:rsidRPr="005D42BE">
        <w:rPr>
          <w:rFonts w:ascii="Aptos" w:eastAsia="Aptos" w:hAnsi="Aptos" w:cs="Aptos"/>
        </w:rPr>
        <w:t xml:space="preserve">. This may include an anaesthetist, intensive care specialist, other </w:t>
      </w:r>
      <w:r w:rsidR="00B95C41">
        <w:rPr>
          <w:rFonts w:ascii="Aptos" w:eastAsia="Aptos" w:hAnsi="Aptos" w:cs="Aptos"/>
        </w:rPr>
        <w:t xml:space="preserve">medical </w:t>
      </w:r>
      <w:r w:rsidRPr="005D42BE">
        <w:rPr>
          <w:rFonts w:ascii="Aptos" w:eastAsia="Aptos" w:hAnsi="Aptos" w:cs="Aptos"/>
        </w:rPr>
        <w:t>practitioner</w:t>
      </w:r>
      <w:r w:rsidR="00AE55D1">
        <w:rPr>
          <w:rFonts w:ascii="Aptos" w:eastAsia="Aptos" w:hAnsi="Aptos" w:cs="Aptos"/>
        </w:rPr>
        <w:t xml:space="preserve"> or dentist</w:t>
      </w:r>
      <w:r w:rsidRPr="005D42BE">
        <w:rPr>
          <w:rFonts w:ascii="Aptos" w:eastAsia="Aptos" w:hAnsi="Aptos" w:cs="Aptos"/>
        </w:rPr>
        <w:t xml:space="preserve">.  </w:t>
      </w:r>
    </w:p>
    <w:p w14:paraId="7E8199DF" w14:textId="77777777" w:rsidR="007E26B7" w:rsidRPr="005D42BE" w:rsidRDefault="007E26B7" w:rsidP="007E26B7">
      <w:pPr>
        <w:spacing w:after="0" w:line="240" w:lineRule="auto"/>
        <w:rPr>
          <w:rFonts w:ascii="Aptos" w:eastAsia="Aptos" w:hAnsi="Aptos" w:cs="Aptos"/>
        </w:rPr>
      </w:pPr>
    </w:p>
    <w:p w14:paraId="100C6FD3" w14:textId="795DFECD" w:rsidR="001141D7" w:rsidRPr="007E26B7" w:rsidRDefault="001141D7" w:rsidP="007E26B7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7E26B7">
        <w:rPr>
          <w:rFonts w:ascii="Aptos" w:eastAsia="Aptos" w:hAnsi="Aptos" w:cs="Aptos"/>
          <w:b/>
          <w:bCs/>
          <w:sz w:val="28"/>
          <w:szCs w:val="28"/>
        </w:rPr>
        <w:t xml:space="preserve">Health </w:t>
      </w:r>
      <w:r w:rsidR="002E2F76">
        <w:rPr>
          <w:rFonts w:ascii="Aptos" w:eastAsia="Aptos" w:hAnsi="Aptos" w:cs="Aptos"/>
          <w:b/>
          <w:bCs/>
          <w:sz w:val="28"/>
          <w:szCs w:val="28"/>
        </w:rPr>
        <w:t>providers</w:t>
      </w:r>
    </w:p>
    <w:p w14:paraId="482AAE45" w14:textId="77777777" w:rsidR="001141D7" w:rsidRDefault="001141D7" w:rsidP="007E26B7">
      <w:pPr>
        <w:spacing w:after="0" w:line="240" w:lineRule="auto"/>
        <w:rPr>
          <w:rFonts w:ascii="Aptos" w:eastAsia="Aptos" w:hAnsi="Aptos" w:cs="Aptos"/>
        </w:rPr>
      </w:pPr>
      <w:r w:rsidRPr="005D42BE">
        <w:rPr>
          <w:rFonts w:ascii="Aptos" w:eastAsia="Aptos" w:hAnsi="Aptos" w:cs="Aptos"/>
        </w:rPr>
        <w:t xml:space="preserve">People who provide healthcare to patients, both registered and unregistered. </w:t>
      </w:r>
    </w:p>
    <w:p w14:paraId="07DD6BE8" w14:textId="77777777" w:rsidR="007E26B7" w:rsidRPr="005D42BE" w:rsidRDefault="007E26B7" w:rsidP="007E26B7">
      <w:pPr>
        <w:spacing w:after="0" w:line="240" w:lineRule="auto"/>
        <w:rPr>
          <w:rFonts w:ascii="Aptos" w:eastAsia="Aptos" w:hAnsi="Aptos" w:cs="Aptos"/>
        </w:rPr>
      </w:pPr>
    </w:p>
    <w:p w14:paraId="286C64E2" w14:textId="77777777" w:rsidR="001141D7" w:rsidRPr="007E26B7" w:rsidRDefault="001141D7" w:rsidP="007E26B7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7E26B7">
        <w:rPr>
          <w:rFonts w:ascii="Aptos" w:eastAsia="Aptos" w:hAnsi="Aptos" w:cs="Aptos"/>
          <w:b/>
          <w:bCs/>
          <w:sz w:val="28"/>
          <w:szCs w:val="28"/>
        </w:rPr>
        <w:t>Sedation</w:t>
      </w:r>
    </w:p>
    <w:p w14:paraId="61670771" w14:textId="50DBCF68" w:rsidR="001141D7" w:rsidRDefault="001141D7" w:rsidP="007E26B7">
      <w:pPr>
        <w:spacing w:after="0" w:line="240" w:lineRule="auto"/>
        <w:rPr>
          <w:rFonts w:ascii="Aptos" w:eastAsia="Aptos" w:hAnsi="Aptos" w:cs="Aptos"/>
        </w:rPr>
      </w:pPr>
      <w:r w:rsidRPr="00442015">
        <w:rPr>
          <w:rFonts w:ascii="Aptos" w:eastAsia="Aptos" w:hAnsi="Aptos" w:cs="Aptos"/>
        </w:rPr>
        <w:t>Sedation is a state of reduced awareness where a patient’s responsiveness to external stimuli is limited. The goal of sedation is to provide patient comfort and cooperation during a procedure</w:t>
      </w:r>
      <w:r w:rsidR="003914C1">
        <w:rPr>
          <w:rFonts w:ascii="Aptos" w:eastAsia="Aptos" w:hAnsi="Aptos" w:cs="Aptos"/>
        </w:rPr>
        <w:t xml:space="preserve"> </w:t>
      </w:r>
      <w:r w:rsidRPr="00442015">
        <w:rPr>
          <w:rFonts w:ascii="Aptos" w:eastAsia="Aptos" w:hAnsi="Aptos" w:cs="Aptos"/>
        </w:rPr>
        <w:t>without the complete loss of consciousness associated with anaesthesia.</w:t>
      </w:r>
    </w:p>
    <w:p w14:paraId="002F4A8F" w14:textId="77777777" w:rsidR="007E26B7" w:rsidRPr="00442015" w:rsidRDefault="007E26B7" w:rsidP="007E26B7">
      <w:pPr>
        <w:spacing w:after="0" w:line="240" w:lineRule="auto"/>
        <w:rPr>
          <w:rFonts w:ascii="Aptos" w:eastAsia="Aptos" w:hAnsi="Aptos" w:cs="Aptos"/>
        </w:rPr>
      </w:pPr>
    </w:p>
    <w:p w14:paraId="489575FB" w14:textId="0BB0AED0" w:rsidR="001141D7" w:rsidRPr="007E26B7" w:rsidRDefault="001141D7" w:rsidP="007E26B7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7E26B7">
        <w:rPr>
          <w:rFonts w:ascii="Aptos" w:eastAsia="Aptos" w:hAnsi="Aptos" w:cs="Aptos"/>
          <w:b/>
          <w:bCs/>
          <w:sz w:val="28"/>
          <w:szCs w:val="28"/>
        </w:rPr>
        <w:t>Sedation levels</w:t>
      </w:r>
      <w:r w:rsidR="001F5C18" w:rsidRPr="007E26B7">
        <w:rPr>
          <w:rStyle w:val="FootnoteReference"/>
          <w:rFonts w:ascii="Aptos" w:eastAsia="Aptos" w:hAnsi="Aptos" w:cs="Aptos"/>
          <w:b/>
          <w:bCs/>
          <w:sz w:val="28"/>
          <w:szCs w:val="28"/>
        </w:rPr>
        <w:footnoteReference w:id="2"/>
      </w:r>
    </w:p>
    <w:p w14:paraId="1C44F325" w14:textId="686E67A7" w:rsidR="001141D7" w:rsidRDefault="001141D7" w:rsidP="007E26B7">
      <w:pPr>
        <w:spacing w:after="0" w:line="240" w:lineRule="auto"/>
        <w:rPr>
          <w:rFonts w:eastAsia="Aptos"/>
        </w:rPr>
      </w:pPr>
      <w:r w:rsidRPr="002321C2">
        <w:rPr>
          <w:rFonts w:ascii="Aptos" w:eastAsia="Aptos" w:hAnsi="Aptos" w:cs="Aptos"/>
          <w:b/>
          <w:bCs/>
        </w:rPr>
        <w:t xml:space="preserve">Minimal: </w:t>
      </w:r>
      <w:r w:rsidRPr="00442015">
        <w:t>A drug-induced state of diminished anxiety, during which patients are conscious</w:t>
      </w:r>
      <w:r w:rsidR="001F5C18">
        <w:rPr>
          <w:rFonts w:ascii="Aptos" w:eastAsia="Aptos" w:hAnsi="Aptos" w:cs="Aptos"/>
          <w:b/>
          <w:bCs/>
        </w:rPr>
        <w:t xml:space="preserve"> </w:t>
      </w:r>
      <w:r w:rsidRPr="002321C2">
        <w:rPr>
          <w:rFonts w:eastAsia="Aptos"/>
        </w:rPr>
        <w:t>and respond purposefully to verbal commands or light tactile stimulation.</w:t>
      </w:r>
    </w:p>
    <w:p w14:paraId="4C012036" w14:textId="77777777" w:rsidR="007E26B7" w:rsidRPr="001F5C18" w:rsidRDefault="007E26B7" w:rsidP="007E26B7">
      <w:pPr>
        <w:spacing w:after="0" w:line="240" w:lineRule="auto"/>
        <w:rPr>
          <w:rFonts w:ascii="Aptos" w:eastAsia="Aptos" w:hAnsi="Aptos" w:cs="Aptos"/>
          <w:b/>
          <w:bCs/>
        </w:rPr>
      </w:pPr>
    </w:p>
    <w:p w14:paraId="0D5D50BC" w14:textId="1939AA0F" w:rsidR="001141D7" w:rsidRDefault="001141D7" w:rsidP="007E26B7">
      <w:pPr>
        <w:spacing w:after="0" w:line="240" w:lineRule="auto"/>
        <w:rPr>
          <w:rFonts w:eastAsia="Aptos"/>
        </w:rPr>
      </w:pPr>
      <w:r w:rsidRPr="00442015">
        <w:rPr>
          <w:rFonts w:eastAsia="Aptos"/>
          <w:b/>
          <w:bCs/>
        </w:rPr>
        <w:t>Moderate:</w:t>
      </w:r>
      <w:r w:rsidRPr="002321C2">
        <w:rPr>
          <w:rFonts w:eastAsia="Aptos"/>
        </w:rPr>
        <w:t xml:space="preserve"> A drug-induced state of depressed consciousness during which patients retain</w:t>
      </w:r>
      <w:r w:rsidR="001F5C18">
        <w:rPr>
          <w:rFonts w:eastAsia="Aptos"/>
        </w:rPr>
        <w:t xml:space="preserve"> </w:t>
      </w:r>
      <w:r w:rsidRPr="002321C2">
        <w:rPr>
          <w:rFonts w:eastAsia="Aptos"/>
        </w:rPr>
        <w:t xml:space="preserve">the ability to respond purposefully to verbal commands and tactile stimulation. </w:t>
      </w:r>
    </w:p>
    <w:p w14:paraId="6EDCA8DB" w14:textId="77777777" w:rsidR="007E26B7" w:rsidRPr="002321C2" w:rsidRDefault="007E26B7" w:rsidP="007E26B7">
      <w:pPr>
        <w:spacing w:after="0" w:line="240" w:lineRule="auto"/>
        <w:rPr>
          <w:rFonts w:eastAsia="Aptos"/>
        </w:rPr>
      </w:pPr>
    </w:p>
    <w:p w14:paraId="1DE6FFCB" w14:textId="5B500B6A" w:rsidR="001141D7" w:rsidRDefault="001141D7" w:rsidP="007E26B7">
      <w:pPr>
        <w:spacing w:after="0" w:line="240" w:lineRule="auto"/>
        <w:rPr>
          <w:rFonts w:eastAsia="Aptos"/>
        </w:rPr>
      </w:pPr>
      <w:r w:rsidRPr="00442015">
        <w:rPr>
          <w:rFonts w:eastAsia="Aptos"/>
          <w:b/>
          <w:bCs/>
        </w:rPr>
        <w:t>Deep:</w:t>
      </w:r>
      <w:r w:rsidRPr="002321C2">
        <w:rPr>
          <w:rFonts w:eastAsia="Aptos"/>
        </w:rPr>
        <w:t xml:space="preserve"> A drug-induced state of depressed consciousness during which patients are not</w:t>
      </w:r>
      <w:r w:rsidR="001F5C18">
        <w:rPr>
          <w:rFonts w:eastAsia="Aptos"/>
        </w:rPr>
        <w:t xml:space="preserve"> </w:t>
      </w:r>
      <w:r w:rsidRPr="002321C2">
        <w:rPr>
          <w:rFonts w:eastAsia="Aptos"/>
        </w:rPr>
        <w:t>easily roused and may respond only to noxious stimulation</w:t>
      </w:r>
      <w:r w:rsidR="0054048C">
        <w:rPr>
          <w:rFonts w:eastAsia="Aptos"/>
        </w:rPr>
        <w:t>.</w:t>
      </w:r>
    </w:p>
    <w:p w14:paraId="0F936841" w14:textId="77777777" w:rsidR="007E26B7" w:rsidRDefault="007E26B7" w:rsidP="007E26B7">
      <w:pPr>
        <w:spacing w:after="0" w:line="240" w:lineRule="auto"/>
        <w:rPr>
          <w:rFonts w:eastAsia="Aptos"/>
        </w:rPr>
      </w:pPr>
    </w:p>
    <w:p w14:paraId="41EFC31F" w14:textId="77777777" w:rsidR="001141D7" w:rsidRDefault="001141D7" w:rsidP="007E26B7">
      <w:pPr>
        <w:spacing w:after="0" w:line="240" w:lineRule="auto"/>
        <w:rPr>
          <w:rFonts w:eastAsia="Aptos"/>
        </w:rPr>
      </w:pPr>
      <w:r w:rsidRPr="00F77D90">
        <w:rPr>
          <w:rFonts w:eastAsia="Aptos"/>
          <w:b/>
          <w:bCs/>
        </w:rPr>
        <w:t xml:space="preserve">General anaesthesia: </w:t>
      </w:r>
      <w:r w:rsidRPr="00442015">
        <w:rPr>
          <w:rFonts w:eastAsia="Aptos"/>
        </w:rPr>
        <w:t>A drug-induced state of unconsciousness characterised by absence of purposeful response to any stimulus, loss of protective airway reflexes, depression of ventilation and disturbance of circulatory reflexes.</w:t>
      </w:r>
    </w:p>
    <w:p w14:paraId="505E8023" w14:textId="6C1C5B24" w:rsidR="001141D7" w:rsidRPr="00062066" w:rsidRDefault="001141D7" w:rsidP="007E26B7">
      <w:pPr>
        <w:spacing w:after="0" w:line="240" w:lineRule="auto"/>
        <w:rPr>
          <w:b/>
        </w:rPr>
      </w:pPr>
    </w:p>
    <w:p w14:paraId="2C078E63" w14:textId="42430E11" w:rsidR="00AB347B" w:rsidRPr="00925C4D" w:rsidRDefault="001141D7" w:rsidP="007E26B7">
      <w:pPr>
        <w:spacing w:after="0" w:line="240" w:lineRule="auto"/>
      </w:pPr>
      <w:r w:rsidRPr="005D42BE">
        <w:br/>
      </w:r>
      <w:r w:rsidRPr="005D42BE">
        <w:br/>
      </w:r>
    </w:p>
    <w:sectPr w:rsidR="00AB347B" w:rsidRPr="00925C4D" w:rsidSect="00BD7610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804E" w14:textId="77777777" w:rsidR="00337F17" w:rsidRDefault="00337F17" w:rsidP="00E20848">
      <w:pPr>
        <w:spacing w:after="0" w:line="240" w:lineRule="auto"/>
      </w:pPr>
      <w:r>
        <w:separator/>
      </w:r>
    </w:p>
  </w:endnote>
  <w:endnote w:type="continuationSeparator" w:id="0">
    <w:p w14:paraId="3ECC1A0E" w14:textId="77777777" w:rsidR="00337F17" w:rsidRDefault="00337F17" w:rsidP="00E20848">
      <w:pPr>
        <w:spacing w:after="0" w:line="240" w:lineRule="auto"/>
      </w:pPr>
      <w:r>
        <w:continuationSeparator/>
      </w:r>
    </w:p>
  </w:endnote>
  <w:endnote w:type="continuationNotice" w:id="1">
    <w:p w14:paraId="09F7158B" w14:textId="77777777" w:rsidR="00337F17" w:rsidRDefault="00337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768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E9648" w14:textId="47D8FD7F" w:rsidR="00605461" w:rsidRDefault="00EF5A67">
        <w:pPr>
          <w:pStyle w:val="Footer"/>
        </w:pPr>
        <w:r w:rsidRPr="00EF5A67">
          <w:rPr>
            <w:sz w:val="20"/>
            <w:szCs w:val="22"/>
          </w:rPr>
          <w:t xml:space="preserve">Page | </w:t>
        </w:r>
        <w:r w:rsidR="00605461" w:rsidRPr="00EF5A67">
          <w:rPr>
            <w:sz w:val="20"/>
            <w:szCs w:val="22"/>
          </w:rPr>
          <w:fldChar w:fldCharType="begin"/>
        </w:r>
        <w:r w:rsidR="00605461" w:rsidRPr="00EF5A67">
          <w:rPr>
            <w:sz w:val="20"/>
            <w:szCs w:val="22"/>
          </w:rPr>
          <w:instrText xml:space="preserve"> PAGE   \* MERGEFORMAT </w:instrText>
        </w:r>
        <w:r w:rsidR="00605461" w:rsidRPr="00EF5A67">
          <w:rPr>
            <w:sz w:val="20"/>
            <w:szCs w:val="22"/>
          </w:rPr>
          <w:fldChar w:fldCharType="separate"/>
        </w:r>
        <w:r w:rsidR="00605461" w:rsidRPr="00EF5A67">
          <w:rPr>
            <w:sz w:val="20"/>
            <w:szCs w:val="22"/>
          </w:rPr>
          <w:t>2</w:t>
        </w:r>
        <w:r w:rsidR="00605461" w:rsidRPr="00EF5A67">
          <w:rPr>
            <w:sz w:val="20"/>
            <w:szCs w:val="22"/>
          </w:rPr>
          <w:fldChar w:fldCharType="end"/>
        </w:r>
      </w:p>
    </w:sdtContent>
  </w:sdt>
  <w:p w14:paraId="28C2FEFE" w14:textId="77777777" w:rsidR="00DA6D3E" w:rsidRDefault="00DA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0C6C" w14:textId="77777777" w:rsidR="00337F17" w:rsidRDefault="00337F17" w:rsidP="00E20848">
      <w:pPr>
        <w:spacing w:after="0" w:line="240" w:lineRule="auto"/>
      </w:pPr>
      <w:r>
        <w:separator/>
      </w:r>
    </w:p>
  </w:footnote>
  <w:footnote w:type="continuationSeparator" w:id="0">
    <w:p w14:paraId="1EC320AE" w14:textId="77777777" w:rsidR="00337F17" w:rsidRDefault="00337F17" w:rsidP="00E20848">
      <w:pPr>
        <w:spacing w:after="0" w:line="240" w:lineRule="auto"/>
      </w:pPr>
      <w:r>
        <w:continuationSeparator/>
      </w:r>
    </w:p>
  </w:footnote>
  <w:footnote w:type="continuationNotice" w:id="1">
    <w:p w14:paraId="50865353" w14:textId="77777777" w:rsidR="00337F17" w:rsidRDefault="00337F17">
      <w:pPr>
        <w:spacing w:after="0" w:line="240" w:lineRule="auto"/>
      </w:pPr>
    </w:p>
  </w:footnote>
  <w:footnote w:id="2">
    <w:p w14:paraId="7B426684" w14:textId="5A92BB32" w:rsidR="001F5C18" w:rsidRPr="001F5C18" w:rsidRDefault="001F5C18" w:rsidP="001F5C18">
      <w:pPr>
        <w:spacing w:after="0" w:line="259" w:lineRule="auto"/>
        <w:ind w:right="146"/>
        <w:rPr>
          <w:rStyle w:val="Hyperlink"/>
          <w:rFonts w:ascii="Aptos" w:eastAsia="Aptos" w:hAnsi="Aptos" w:cs="Aptos"/>
          <w:color w:val="auto"/>
          <w:u w:val="none"/>
        </w:rPr>
      </w:pPr>
      <w:r>
        <w:rPr>
          <w:rStyle w:val="FootnoteReference"/>
        </w:rPr>
        <w:footnoteRef/>
      </w:r>
      <w:r>
        <w:t xml:space="preserve"> </w:t>
      </w:r>
      <w:r w:rsidRPr="001F5C18">
        <w:rPr>
          <w:rFonts w:eastAsia="Aptos"/>
        </w:rPr>
        <w:t xml:space="preserve">From </w:t>
      </w:r>
      <w:hyperlink r:id="rId1">
        <w:r w:rsidRPr="001F5C18">
          <w:rPr>
            <w:rStyle w:val="Hyperlink"/>
            <w:rFonts w:ascii="Aptos" w:eastAsia="Aptos" w:hAnsi="Aptos" w:cs="Aptos"/>
          </w:rPr>
          <w:t>ANZCA: (P</w:t>
        </w:r>
        <w:r w:rsidR="002462F5">
          <w:rPr>
            <w:rStyle w:val="Hyperlink"/>
            <w:rFonts w:ascii="Aptos" w:eastAsia="Aptos" w:hAnsi="Aptos" w:cs="Aptos"/>
          </w:rPr>
          <w:t>G</w:t>
        </w:r>
        <w:r w:rsidRPr="001F5C18">
          <w:rPr>
            <w:rStyle w:val="Hyperlink"/>
            <w:rFonts w:ascii="Aptos" w:eastAsia="Aptos" w:hAnsi="Aptos" w:cs="Aptos"/>
          </w:rPr>
          <w:t>09) Guideline on procedural sedation</w:t>
        </w:r>
      </w:hyperlink>
    </w:p>
    <w:p w14:paraId="00F2D7B7" w14:textId="3D63CD8A" w:rsidR="001F5C18" w:rsidRDefault="001F5C18" w:rsidP="001F5C18">
      <w:pPr>
        <w:spacing w:line="276" w:lineRule="auto"/>
        <w:rPr>
          <w:rFonts w:ascii="Aptos" w:eastAsia="Aptos" w:hAnsi="Aptos" w:cs="Aptos"/>
          <w:b/>
          <w:bCs/>
        </w:rPr>
      </w:pPr>
    </w:p>
    <w:p w14:paraId="142F1617" w14:textId="7F4A28E5" w:rsidR="001F5C18" w:rsidRDefault="001F5C1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19D1" w14:textId="6BF9FEF4" w:rsidR="00B24AB8" w:rsidRDefault="00C37B01">
    <w:pPr>
      <w:pStyle w:val="Header"/>
    </w:pPr>
    <w:r>
      <w:rPr>
        <w:noProof/>
      </w:rPr>
      <w:pict w14:anchorId="3F0989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927844" o:spid="_x0000_s1030" type="#_x0000_t136" style="position:absolute;margin-left:0;margin-top:0;width:565.55pt;height:94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nsul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8C36" w14:textId="16D97935" w:rsidR="00DA6D3E" w:rsidRDefault="00C37B01" w:rsidP="00605461">
    <w:pPr>
      <w:pStyle w:val="Header"/>
      <w:tabs>
        <w:tab w:val="clear" w:pos="4513"/>
        <w:tab w:val="clear" w:pos="9026"/>
        <w:tab w:val="left" w:pos="7208"/>
      </w:tabs>
    </w:pPr>
    <w:r>
      <w:rPr>
        <w:noProof/>
      </w:rPr>
      <w:pict w14:anchorId="45D6B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927845" o:spid="_x0000_s1031" type="#_x0000_t136" style="position:absolute;margin-left:0;margin-top:0;width:565.55pt;height:94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nsultation"/>
          <w10:wrap anchorx="margin" anchory="margin"/>
        </v:shape>
      </w:pict>
    </w:r>
    <w:r w:rsidR="006054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4B2E" w14:textId="03259A57" w:rsidR="00C5333A" w:rsidRDefault="009C771F">
    <w:pPr>
      <w:pStyle w:val="Header"/>
    </w:pPr>
    <w:r w:rsidRPr="00675235">
      <w:rPr>
        <w:noProof/>
      </w:rPr>
      <w:drawing>
        <wp:anchor distT="0" distB="0" distL="114300" distR="114300" simplePos="0" relativeHeight="251658243" behindDoc="0" locked="0" layoutInCell="1" allowOverlap="1" wp14:anchorId="2FFE06E7" wp14:editId="79F294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68145" cy="762635"/>
          <wp:effectExtent l="0" t="0" r="8255" b="0"/>
          <wp:wrapSquare wrapText="bothSides"/>
          <wp:docPr id="10412060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966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7B01">
      <w:rPr>
        <w:noProof/>
      </w:rPr>
      <w:pict w14:anchorId="3495DC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927843" o:spid="_x0000_s1032" type="#_x0000_t136" style="position:absolute;margin-left:0;margin-top:0;width:565.55pt;height:94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nsul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7A5"/>
    <w:multiLevelType w:val="hybridMultilevel"/>
    <w:tmpl w:val="AAB6A7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A50"/>
    <w:multiLevelType w:val="multilevel"/>
    <w:tmpl w:val="856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D14CD"/>
    <w:multiLevelType w:val="hybridMultilevel"/>
    <w:tmpl w:val="41B2C8C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247"/>
    <w:multiLevelType w:val="hybridMultilevel"/>
    <w:tmpl w:val="F7C61D5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B5D86C"/>
    <w:multiLevelType w:val="hybridMultilevel"/>
    <w:tmpl w:val="A5CC0D24"/>
    <w:lvl w:ilvl="0" w:tplc="58B0E5C6">
      <w:start w:val="1"/>
      <w:numFmt w:val="decimal"/>
      <w:lvlText w:val="•"/>
      <w:lvlJc w:val="left"/>
      <w:pPr>
        <w:ind w:left="720" w:hanging="360"/>
      </w:pPr>
    </w:lvl>
    <w:lvl w:ilvl="1" w:tplc="7BBC6440">
      <w:start w:val="1"/>
      <w:numFmt w:val="lowerLetter"/>
      <w:lvlText w:val="%2."/>
      <w:lvlJc w:val="left"/>
      <w:pPr>
        <w:ind w:left="1440" w:hanging="360"/>
      </w:pPr>
    </w:lvl>
    <w:lvl w:ilvl="2" w:tplc="87C0371A">
      <w:start w:val="1"/>
      <w:numFmt w:val="lowerRoman"/>
      <w:lvlText w:val="%3."/>
      <w:lvlJc w:val="right"/>
      <w:pPr>
        <w:ind w:left="2160" w:hanging="180"/>
      </w:pPr>
    </w:lvl>
    <w:lvl w:ilvl="3" w:tplc="65B2FA32">
      <w:start w:val="1"/>
      <w:numFmt w:val="decimal"/>
      <w:lvlText w:val="%4."/>
      <w:lvlJc w:val="left"/>
      <w:pPr>
        <w:ind w:left="2880" w:hanging="360"/>
      </w:pPr>
    </w:lvl>
    <w:lvl w:ilvl="4" w:tplc="DC925B1C">
      <w:start w:val="1"/>
      <w:numFmt w:val="lowerLetter"/>
      <w:lvlText w:val="%5."/>
      <w:lvlJc w:val="left"/>
      <w:pPr>
        <w:ind w:left="3600" w:hanging="360"/>
      </w:pPr>
    </w:lvl>
    <w:lvl w:ilvl="5" w:tplc="D2801672">
      <w:start w:val="1"/>
      <w:numFmt w:val="lowerRoman"/>
      <w:lvlText w:val="%6."/>
      <w:lvlJc w:val="right"/>
      <w:pPr>
        <w:ind w:left="4320" w:hanging="180"/>
      </w:pPr>
    </w:lvl>
    <w:lvl w:ilvl="6" w:tplc="8926F026">
      <w:start w:val="1"/>
      <w:numFmt w:val="decimal"/>
      <w:lvlText w:val="%7."/>
      <w:lvlJc w:val="left"/>
      <w:pPr>
        <w:ind w:left="5040" w:hanging="360"/>
      </w:pPr>
    </w:lvl>
    <w:lvl w:ilvl="7" w:tplc="940C3DA4">
      <w:start w:val="1"/>
      <w:numFmt w:val="lowerLetter"/>
      <w:lvlText w:val="%8."/>
      <w:lvlJc w:val="left"/>
      <w:pPr>
        <w:ind w:left="5760" w:hanging="360"/>
      </w:pPr>
    </w:lvl>
    <w:lvl w:ilvl="8" w:tplc="0ECC24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4524"/>
    <w:multiLevelType w:val="hybridMultilevel"/>
    <w:tmpl w:val="446E8C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1F97"/>
    <w:multiLevelType w:val="hybridMultilevel"/>
    <w:tmpl w:val="2DAA1D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CD1"/>
    <w:multiLevelType w:val="multilevel"/>
    <w:tmpl w:val="122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E7666"/>
    <w:multiLevelType w:val="hybridMultilevel"/>
    <w:tmpl w:val="6CAA28B6"/>
    <w:lvl w:ilvl="0" w:tplc="A906F466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E12DE"/>
    <w:multiLevelType w:val="multilevel"/>
    <w:tmpl w:val="0A3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B084E"/>
    <w:multiLevelType w:val="multilevel"/>
    <w:tmpl w:val="874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81DFF"/>
    <w:multiLevelType w:val="hybridMultilevel"/>
    <w:tmpl w:val="EA846B14"/>
    <w:lvl w:ilvl="0" w:tplc="40520052">
      <w:start w:val="1"/>
      <w:numFmt w:val="decimal"/>
      <w:lvlText w:val="%1."/>
      <w:lvlJc w:val="left"/>
      <w:pPr>
        <w:ind w:left="720" w:hanging="360"/>
      </w:pPr>
    </w:lvl>
    <w:lvl w:ilvl="1" w:tplc="904AF042">
      <w:start w:val="1"/>
      <w:numFmt w:val="lowerLetter"/>
      <w:lvlText w:val="%2."/>
      <w:lvlJc w:val="left"/>
      <w:pPr>
        <w:ind w:left="1440" w:hanging="360"/>
      </w:pPr>
    </w:lvl>
    <w:lvl w:ilvl="2" w:tplc="A0684950">
      <w:start w:val="1"/>
      <w:numFmt w:val="lowerRoman"/>
      <w:lvlText w:val="%3."/>
      <w:lvlJc w:val="right"/>
      <w:pPr>
        <w:ind w:left="2160" w:hanging="180"/>
      </w:pPr>
    </w:lvl>
    <w:lvl w:ilvl="3" w:tplc="1910EAD4">
      <w:start w:val="1"/>
      <w:numFmt w:val="decimal"/>
      <w:lvlText w:val="%4."/>
      <w:lvlJc w:val="left"/>
      <w:pPr>
        <w:ind w:left="2880" w:hanging="360"/>
      </w:pPr>
    </w:lvl>
    <w:lvl w:ilvl="4" w:tplc="9008F2E4">
      <w:start w:val="1"/>
      <w:numFmt w:val="lowerLetter"/>
      <w:lvlText w:val="%5."/>
      <w:lvlJc w:val="left"/>
      <w:pPr>
        <w:ind w:left="3600" w:hanging="360"/>
      </w:pPr>
    </w:lvl>
    <w:lvl w:ilvl="5" w:tplc="D85E39C2">
      <w:start w:val="1"/>
      <w:numFmt w:val="lowerRoman"/>
      <w:lvlText w:val="%6."/>
      <w:lvlJc w:val="right"/>
      <w:pPr>
        <w:ind w:left="4320" w:hanging="180"/>
      </w:pPr>
    </w:lvl>
    <w:lvl w:ilvl="6" w:tplc="57C8E78C">
      <w:start w:val="1"/>
      <w:numFmt w:val="decimal"/>
      <w:lvlText w:val="%7."/>
      <w:lvlJc w:val="left"/>
      <w:pPr>
        <w:ind w:left="5040" w:hanging="360"/>
      </w:pPr>
    </w:lvl>
    <w:lvl w:ilvl="7" w:tplc="96C226E0">
      <w:start w:val="1"/>
      <w:numFmt w:val="lowerLetter"/>
      <w:lvlText w:val="%8."/>
      <w:lvlJc w:val="left"/>
      <w:pPr>
        <w:ind w:left="5760" w:hanging="360"/>
      </w:pPr>
    </w:lvl>
    <w:lvl w:ilvl="8" w:tplc="E260272C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0594">
    <w:abstractNumId w:val="4"/>
  </w:num>
  <w:num w:numId="2" w16cid:durableId="1125805466">
    <w:abstractNumId w:val="11"/>
  </w:num>
  <w:num w:numId="3" w16cid:durableId="1585214511">
    <w:abstractNumId w:val="0"/>
  </w:num>
  <w:num w:numId="4" w16cid:durableId="569728636">
    <w:abstractNumId w:val="6"/>
  </w:num>
  <w:num w:numId="5" w16cid:durableId="890580235">
    <w:abstractNumId w:val="3"/>
  </w:num>
  <w:num w:numId="6" w16cid:durableId="234440021">
    <w:abstractNumId w:val="5"/>
  </w:num>
  <w:num w:numId="7" w16cid:durableId="148373677">
    <w:abstractNumId w:val="2"/>
  </w:num>
  <w:num w:numId="8" w16cid:durableId="203637179">
    <w:abstractNumId w:val="8"/>
  </w:num>
  <w:num w:numId="9" w16cid:durableId="1324509137">
    <w:abstractNumId w:val="1"/>
  </w:num>
  <w:num w:numId="10" w16cid:durableId="78528164">
    <w:abstractNumId w:val="10"/>
  </w:num>
  <w:num w:numId="11" w16cid:durableId="1754349942">
    <w:abstractNumId w:val="9"/>
  </w:num>
  <w:num w:numId="12" w16cid:durableId="1460612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3164D6"/>
    <w:rsid w:val="00004804"/>
    <w:rsid w:val="00005A3C"/>
    <w:rsid w:val="00010129"/>
    <w:rsid w:val="00022719"/>
    <w:rsid w:val="00026556"/>
    <w:rsid w:val="00027F59"/>
    <w:rsid w:val="00030BE0"/>
    <w:rsid w:val="0004081D"/>
    <w:rsid w:val="00044204"/>
    <w:rsid w:val="00047F87"/>
    <w:rsid w:val="000500AC"/>
    <w:rsid w:val="000530D6"/>
    <w:rsid w:val="00054589"/>
    <w:rsid w:val="00054E7D"/>
    <w:rsid w:val="00062066"/>
    <w:rsid w:val="00064584"/>
    <w:rsid w:val="00065A8F"/>
    <w:rsid w:val="000663CC"/>
    <w:rsid w:val="00070B85"/>
    <w:rsid w:val="00075F23"/>
    <w:rsid w:val="000821D7"/>
    <w:rsid w:val="00092632"/>
    <w:rsid w:val="00092857"/>
    <w:rsid w:val="00092883"/>
    <w:rsid w:val="000B6C6B"/>
    <w:rsid w:val="000B6D14"/>
    <w:rsid w:val="000C0BB5"/>
    <w:rsid w:val="000C78F8"/>
    <w:rsid w:val="000D226D"/>
    <w:rsid w:val="000D7422"/>
    <w:rsid w:val="000E5264"/>
    <w:rsid w:val="000F12A9"/>
    <w:rsid w:val="000F65D5"/>
    <w:rsid w:val="001103C1"/>
    <w:rsid w:val="00110C23"/>
    <w:rsid w:val="0011230A"/>
    <w:rsid w:val="00112A61"/>
    <w:rsid w:val="001141D7"/>
    <w:rsid w:val="00114D93"/>
    <w:rsid w:val="0012566E"/>
    <w:rsid w:val="001265C7"/>
    <w:rsid w:val="001300D8"/>
    <w:rsid w:val="00131196"/>
    <w:rsid w:val="001318AE"/>
    <w:rsid w:val="00131B6F"/>
    <w:rsid w:val="0013299F"/>
    <w:rsid w:val="001339E6"/>
    <w:rsid w:val="00140A8A"/>
    <w:rsid w:val="00145917"/>
    <w:rsid w:val="00145C20"/>
    <w:rsid w:val="00153A21"/>
    <w:rsid w:val="001636DC"/>
    <w:rsid w:val="00166495"/>
    <w:rsid w:val="00167F4E"/>
    <w:rsid w:val="0018719F"/>
    <w:rsid w:val="0019161C"/>
    <w:rsid w:val="00191A49"/>
    <w:rsid w:val="00192B15"/>
    <w:rsid w:val="001B4C87"/>
    <w:rsid w:val="001B6924"/>
    <w:rsid w:val="001B77D3"/>
    <w:rsid w:val="001B79E0"/>
    <w:rsid w:val="001C17BB"/>
    <w:rsid w:val="001C4066"/>
    <w:rsid w:val="001D1B5C"/>
    <w:rsid w:val="001D28C3"/>
    <w:rsid w:val="001D2D68"/>
    <w:rsid w:val="001D68DD"/>
    <w:rsid w:val="001E1CA5"/>
    <w:rsid w:val="001E4E1B"/>
    <w:rsid w:val="001E5EAC"/>
    <w:rsid w:val="001F2ECA"/>
    <w:rsid w:val="001F5C18"/>
    <w:rsid w:val="002051CD"/>
    <w:rsid w:val="002129C4"/>
    <w:rsid w:val="00215729"/>
    <w:rsid w:val="002204A5"/>
    <w:rsid w:val="00224721"/>
    <w:rsid w:val="00231117"/>
    <w:rsid w:val="00231780"/>
    <w:rsid w:val="002321C2"/>
    <w:rsid w:val="0023441B"/>
    <w:rsid w:val="002355BC"/>
    <w:rsid w:val="00235D46"/>
    <w:rsid w:val="002370FC"/>
    <w:rsid w:val="002462F5"/>
    <w:rsid w:val="00252DA0"/>
    <w:rsid w:val="00256A42"/>
    <w:rsid w:val="00264F05"/>
    <w:rsid w:val="00274121"/>
    <w:rsid w:val="00274165"/>
    <w:rsid w:val="00274F17"/>
    <w:rsid w:val="00276886"/>
    <w:rsid w:val="0028655A"/>
    <w:rsid w:val="00297210"/>
    <w:rsid w:val="00297A9F"/>
    <w:rsid w:val="002B0FDB"/>
    <w:rsid w:val="002B559E"/>
    <w:rsid w:val="002B6CAD"/>
    <w:rsid w:val="002D2946"/>
    <w:rsid w:val="002D357F"/>
    <w:rsid w:val="002D4581"/>
    <w:rsid w:val="002D4AE9"/>
    <w:rsid w:val="002D64CB"/>
    <w:rsid w:val="002E0634"/>
    <w:rsid w:val="002E194F"/>
    <w:rsid w:val="002E2F76"/>
    <w:rsid w:val="003020B2"/>
    <w:rsid w:val="003061FB"/>
    <w:rsid w:val="00311C80"/>
    <w:rsid w:val="00313419"/>
    <w:rsid w:val="00316CAA"/>
    <w:rsid w:val="00317462"/>
    <w:rsid w:val="0032429E"/>
    <w:rsid w:val="0033061E"/>
    <w:rsid w:val="00337F17"/>
    <w:rsid w:val="00342A6F"/>
    <w:rsid w:val="00342C65"/>
    <w:rsid w:val="003529AD"/>
    <w:rsid w:val="00357002"/>
    <w:rsid w:val="00360155"/>
    <w:rsid w:val="003606E7"/>
    <w:rsid w:val="00362F58"/>
    <w:rsid w:val="003645CB"/>
    <w:rsid w:val="003657A0"/>
    <w:rsid w:val="003659F1"/>
    <w:rsid w:val="00367A93"/>
    <w:rsid w:val="0037444E"/>
    <w:rsid w:val="00382A4F"/>
    <w:rsid w:val="003914C1"/>
    <w:rsid w:val="003941BE"/>
    <w:rsid w:val="00394C98"/>
    <w:rsid w:val="00396EB9"/>
    <w:rsid w:val="003A0A16"/>
    <w:rsid w:val="003A79AD"/>
    <w:rsid w:val="003B3720"/>
    <w:rsid w:val="003C1609"/>
    <w:rsid w:val="003C6BE5"/>
    <w:rsid w:val="003D0040"/>
    <w:rsid w:val="003D1ADF"/>
    <w:rsid w:val="003E43DF"/>
    <w:rsid w:val="003E7784"/>
    <w:rsid w:val="003F045F"/>
    <w:rsid w:val="003F1E61"/>
    <w:rsid w:val="003F29F6"/>
    <w:rsid w:val="00403E80"/>
    <w:rsid w:val="004078C4"/>
    <w:rsid w:val="004273CF"/>
    <w:rsid w:val="004329E2"/>
    <w:rsid w:val="00433EF1"/>
    <w:rsid w:val="00437E86"/>
    <w:rsid w:val="00437E9E"/>
    <w:rsid w:val="00437F23"/>
    <w:rsid w:val="0044711E"/>
    <w:rsid w:val="00447F7B"/>
    <w:rsid w:val="00457A0C"/>
    <w:rsid w:val="004602B2"/>
    <w:rsid w:val="00460796"/>
    <w:rsid w:val="00463467"/>
    <w:rsid w:val="00464645"/>
    <w:rsid w:val="00465D54"/>
    <w:rsid w:val="00466653"/>
    <w:rsid w:val="004763BC"/>
    <w:rsid w:val="00476542"/>
    <w:rsid w:val="00480523"/>
    <w:rsid w:val="00482F8D"/>
    <w:rsid w:val="00483A5E"/>
    <w:rsid w:val="00486783"/>
    <w:rsid w:val="004874FF"/>
    <w:rsid w:val="004A1FB7"/>
    <w:rsid w:val="004A6F5E"/>
    <w:rsid w:val="004B3CBD"/>
    <w:rsid w:val="004C0492"/>
    <w:rsid w:val="004C3CFE"/>
    <w:rsid w:val="004C3D02"/>
    <w:rsid w:val="004C4F89"/>
    <w:rsid w:val="004C59E1"/>
    <w:rsid w:val="004D3BEF"/>
    <w:rsid w:val="004E03BC"/>
    <w:rsid w:val="004F673C"/>
    <w:rsid w:val="004F7607"/>
    <w:rsid w:val="00500EFD"/>
    <w:rsid w:val="005022AA"/>
    <w:rsid w:val="005024FA"/>
    <w:rsid w:val="005079C8"/>
    <w:rsid w:val="00517A0D"/>
    <w:rsid w:val="00536494"/>
    <w:rsid w:val="0053747B"/>
    <w:rsid w:val="005378B9"/>
    <w:rsid w:val="0054048C"/>
    <w:rsid w:val="0055377F"/>
    <w:rsid w:val="00554893"/>
    <w:rsid w:val="00557D3F"/>
    <w:rsid w:val="005619F7"/>
    <w:rsid w:val="00566458"/>
    <w:rsid w:val="00567687"/>
    <w:rsid w:val="00570060"/>
    <w:rsid w:val="0058462E"/>
    <w:rsid w:val="00586086"/>
    <w:rsid w:val="0058625A"/>
    <w:rsid w:val="0058733A"/>
    <w:rsid w:val="00591FA6"/>
    <w:rsid w:val="00597D3E"/>
    <w:rsid w:val="005A0056"/>
    <w:rsid w:val="005B48EF"/>
    <w:rsid w:val="005C3F9C"/>
    <w:rsid w:val="005D3760"/>
    <w:rsid w:val="005D42BE"/>
    <w:rsid w:val="005E04C9"/>
    <w:rsid w:val="005E12ED"/>
    <w:rsid w:val="005E2D69"/>
    <w:rsid w:val="005E484C"/>
    <w:rsid w:val="005F51C4"/>
    <w:rsid w:val="006001DF"/>
    <w:rsid w:val="00605461"/>
    <w:rsid w:val="0060676A"/>
    <w:rsid w:val="00611C22"/>
    <w:rsid w:val="0061371F"/>
    <w:rsid w:val="00620395"/>
    <w:rsid w:val="00621454"/>
    <w:rsid w:val="00627977"/>
    <w:rsid w:val="006348A9"/>
    <w:rsid w:val="00634969"/>
    <w:rsid w:val="00636FA2"/>
    <w:rsid w:val="00646A07"/>
    <w:rsid w:val="00647A19"/>
    <w:rsid w:val="00650E7F"/>
    <w:rsid w:val="00651148"/>
    <w:rsid w:val="00655257"/>
    <w:rsid w:val="00656318"/>
    <w:rsid w:val="0065736C"/>
    <w:rsid w:val="00661F10"/>
    <w:rsid w:val="0066432B"/>
    <w:rsid w:val="00665BE4"/>
    <w:rsid w:val="00673BC8"/>
    <w:rsid w:val="00683F8A"/>
    <w:rsid w:val="006850F3"/>
    <w:rsid w:val="0068528D"/>
    <w:rsid w:val="00690218"/>
    <w:rsid w:val="0069085F"/>
    <w:rsid w:val="00694557"/>
    <w:rsid w:val="006952CA"/>
    <w:rsid w:val="006962E4"/>
    <w:rsid w:val="006A0F76"/>
    <w:rsid w:val="006B140A"/>
    <w:rsid w:val="006B1CF2"/>
    <w:rsid w:val="006B39E5"/>
    <w:rsid w:val="006B42AB"/>
    <w:rsid w:val="006B7D0D"/>
    <w:rsid w:val="006C1B4F"/>
    <w:rsid w:val="006C2679"/>
    <w:rsid w:val="006C4709"/>
    <w:rsid w:val="006C6849"/>
    <w:rsid w:val="006F1C28"/>
    <w:rsid w:val="006F4E4F"/>
    <w:rsid w:val="006F59F7"/>
    <w:rsid w:val="007073B2"/>
    <w:rsid w:val="0071357D"/>
    <w:rsid w:val="00714668"/>
    <w:rsid w:val="007201CC"/>
    <w:rsid w:val="00720AC6"/>
    <w:rsid w:val="007238EF"/>
    <w:rsid w:val="00724624"/>
    <w:rsid w:val="00731C4B"/>
    <w:rsid w:val="007330C3"/>
    <w:rsid w:val="00735341"/>
    <w:rsid w:val="00735D46"/>
    <w:rsid w:val="0073771D"/>
    <w:rsid w:val="00742075"/>
    <w:rsid w:val="0074247B"/>
    <w:rsid w:val="007457FB"/>
    <w:rsid w:val="00750660"/>
    <w:rsid w:val="007512B7"/>
    <w:rsid w:val="007565FE"/>
    <w:rsid w:val="007569A0"/>
    <w:rsid w:val="00760D60"/>
    <w:rsid w:val="007664D7"/>
    <w:rsid w:val="007773A6"/>
    <w:rsid w:val="007817FD"/>
    <w:rsid w:val="00781881"/>
    <w:rsid w:val="007A1604"/>
    <w:rsid w:val="007B2F8F"/>
    <w:rsid w:val="007C147D"/>
    <w:rsid w:val="007C7BE2"/>
    <w:rsid w:val="007D1DF6"/>
    <w:rsid w:val="007D36B8"/>
    <w:rsid w:val="007E0D03"/>
    <w:rsid w:val="007E2247"/>
    <w:rsid w:val="007E26B7"/>
    <w:rsid w:val="007E334F"/>
    <w:rsid w:val="007E39C5"/>
    <w:rsid w:val="007F0039"/>
    <w:rsid w:val="007F184B"/>
    <w:rsid w:val="007F4123"/>
    <w:rsid w:val="00811C57"/>
    <w:rsid w:val="00813277"/>
    <w:rsid w:val="008135DA"/>
    <w:rsid w:val="00815A4D"/>
    <w:rsid w:val="00822714"/>
    <w:rsid w:val="00844F5B"/>
    <w:rsid w:val="0085156D"/>
    <w:rsid w:val="00863F42"/>
    <w:rsid w:val="00864D3E"/>
    <w:rsid w:val="008650EE"/>
    <w:rsid w:val="008727F2"/>
    <w:rsid w:val="00875878"/>
    <w:rsid w:val="008923BB"/>
    <w:rsid w:val="008A0105"/>
    <w:rsid w:val="008B3B4A"/>
    <w:rsid w:val="008B6E19"/>
    <w:rsid w:val="008C092A"/>
    <w:rsid w:val="008C3B1F"/>
    <w:rsid w:val="008C6A3C"/>
    <w:rsid w:val="008D1D92"/>
    <w:rsid w:val="008D3E17"/>
    <w:rsid w:val="008D4103"/>
    <w:rsid w:val="008D5694"/>
    <w:rsid w:val="008E1837"/>
    <w:rsid w:val="008E6A72"/>
    <w:rsid w:val="00912A15"/>
    <w:rsid w:val="00916209"/>
    <w:rsid w:val="00917748"/>
    <w:rsid w:val="00922A92"/>
    <w:rsid w:val="00925C4D"/>
    <w:rsid w:val="00941E8B"/>
    <w:rsid w:val="00942269"/>
    <w:rsid w:val="009439CB"/>
    <w:rsid w:val="00950A78"/>
    <w:rsid w:val="00960A3C"/>
    <w:rsid w:val="00962BC8"/>
    <w:rsid w:val="00967B63"/>
    <w:rsid w:val="00971536"/>
    <w:rsid w:val="00973AC3"/>
    <w:rsid w:val="00974656"/>
    <w:rsid w:val="00974E97"/>
    <w:rsid w:val="0098233B"/>
    <w:rsid w:val="0098695F"/>
    <w:rsid w:val="00992023"/>
    <w:rsid w:val="00996C60"/>
    <w:rsid w:val="009A1E82"/>
    <w:rsid w:val="009A6969"/>
    <w:rsid w:val="009B00D8"/>
    <w:rsid w:val="009B1073"/>
    <w:rsid w:val="009B5C35"/>
    <w:rsid w:val="009C154D"/>
    <w:rsid w:val="009C1E7F"/>
    <w:rsid w:val="009C73A1"/>
    <w:rsid w:val="009C771F"/>
    <w:rsid w:val="009D2215"/>
    <w:rsid w:val="009D4DD3"/>
    <w:rsid w:val="009D634B"/>
    <w:rsid w:val="009E3AEE"/>
    <w:rsid w:val="009E3E89"/>
    <w:rsid w:val="009E7182"/>
    <w:rsid w:val="009E75ED"/>
    <w:rsid w:val="009E7AEB"/>
    <w:rsid w:val="00A01E24"/>
    <w:rsid w:val="00A02BD3"/>
    <w:rsid w:val="00A04770"/>
    <w:rsid w:val="00A17279"/>
    <w:rsid w:val="00A23EB2"/>
    <w:rsid w:val="00A372FC"/>
    <w:rsid w:val="00A41BB3"/>
    <w:rsid w:val="00A50F55"/>
    <w:rsid w:val="00A533F1"/>
    <w:rsid w:val="00A6048C"/>
    <w:rsid w:val="00A608F4"/>
    <w:rsid w:val="00A611E8"/>
    <w:rsid w:val="00A62871"/>
    <w:rsid w:val="00A6788E"/>
    <w:rsid w:val="00A717C4"/>
    <w:rsid w:val="00A85429"/>
    <w:rsid w:val="00AA5062"/>
    <w:rsid w:val="00AA5E70"/>
    <w:rsid w:val="00AB1424"/>
    <w:rsid w:val="00AB2A5A"/>
    <w:rsid w:val="00AB347B"/>
    <w:rsid w:val="00AB4058"/>
    <w:rsid w:val="00AB5292"/>
    <w:rsid w:val="00AB5812"/>
    <w:rsid w:val="00AC2B75"/>
    <w:rsid w:val="00AC34F8"/>
    <w:rsid w:val="00AC6396"/>
    <w:rsid w:val="00AD7B2E"/>
    <w:rsid w:val="00AE55D1"/>
    <w:rsid w:val="00AE5DEF"/>
    <w:rsid w:val="00AE7088"/>
    <w:rsid w:val="00AE77C6"/>
    <w:rsid w:val="00AF500C"/>
    <w:rsid w:val="00B062C6"/>
    <w:rsid w:val="00B06B36"/>
    <w:rsid w:val="00B07616"/>
    <w:rsid w:val="00B113F9"/>
    <w:rsid w:val="00B117BD"/>
    <w:rsid w:val="00B24AB8"/>
    <w:rsid w:val="00B26BA7"/>
    <w:rsid w:val="00B274AD"/>
    <w:rsid w:val="00B27B85"/>
    <w:rsid w:val="00B27F95"/>
    <w:rsid w:val="00B32E24"/>
    <w:rsid w:val="00B41182"/>
    <w:rsid w:val="00B51094"/>
    <w:rsid w:val="00B57E53"/>
    <w:rsid w:val="00B63EF8"/>
    <w:rsid w:val="00B66570"/>
    <w:rsid w:val="00B74055"/>
    <w:rsid w:val="00B75FAF"/>
    <w:rsid w:val="00B847D9"/>
    <w:rsid w:val="00B850FB"/>
    <w:rsid w:val="00B8635C"/>
    <w:rsid w:val="00B95C41"/>
    <w:rsid w:val="00BA424A"/>
    <w:rsid w:val="00BA6107"/>
    <w:rsid w:val="00BA7900"/>
    <w:rsid w:val="00BB657E"/>
    <w:rsid w:val="00BB7AE3"/>
    <w:rsid w:val="00BC130C"/>
    <w:rsid w:val="00BC4CB2"/>
    <w:rsid w:val="00BC672A"/>
    <w:rsid w:val="00BD1626"/>
    <w:rsid w:val="00BD593C"/>
    <w:rsid w:val="00BD5E4D"/>
    <w:rsid w:val="00BD7610"/>
    <w:rsid w:val="00BE411C"/>
    <w:rsid w:val="00BF284F"/>
    <w:rsid w:val="00BF3067"/>
    <w:rsid w:val="00BF3154"/>
    <w:rsid w:val="00BF32FC"/>
    <w:rsid w:val="00BF4691"/>
    <w:rsid w:val="00BF4900"/>
    <w:rsid w:val="00BF7883"/>
    <w:rsid w:val="00C000C9"/>
    <w:rsid w:val="00C01204"/>
    <w:rsid w:val="00C01D92"/>
    <w:rsid w:val="00C04068"/>
    <w:rsid w:val="00C06AE9"/>
    <w:rsid w:val="00C06DBF"/>
    <w:rsid w:val="00C11AD3"/>
    <w:rsid w:val="00C12A98"/>
    <w:rsid w:val="00C13D08"/>
    <w:rsid w:val="00C31235"/>
    <w:rsid w:val="00C31EE9"/>
    <w:rsid w:val="00C33F31"/>
    <w:rsid w:val="00C4190C"/>
    <w:rsid w:val="00C470A6"/>
    <w:rsid w:val="00C5333A"/>
    <w:rsid w:val="00C6083C"/>
    <w:rsid w:val="00C64C39"/>
    <w:rsid w:val="00C977EF"/>
    <w:rsid w:val="00CA0040"/>
    <w:rsid w:val="00CC7E64"/>
    <w:rsid w:val="00CD0CBF"/>
    <w:rsid w:val="00CD3F86"/>
    <w:rsid w:val="00CE01D7"/>
    <w:rsid w:val="00CE4BA5"/>
    <w:rsid w:val="00CF102D"/>
    <w:rsid w:val="00CF131F"/>
    <w:rsid w:val="00D0149E"/>
    <w:rsid w:val="00D06ADA"/>
    <w:rsid w:val="00D117F6"/>
    <w:rsid w:val="00D200B1"/>
    <w:rsid w:val="00D20FC8"/>
    <w:rsid w:val="00D2368F"/>
    <w:rsid w:val="00D23918"/>
    <w:rsid w:val="00D23AE6"/>
    <w:rsid w:val="00D330B0"/>
    <w:rsid w:val="00D42235"/>
    <w:rsid w:val="00D42833"/>
    <w:rsid w:val="00D43B5B"/>
    <w:rsid w:val="00D532A6"/>
    <w:rsid w:val="00D65D24"/>
    <w:rsid w:val="00D8369A"/>
    <w:rsid w:val="00D83E7C"/>
    <w:rsid w:val="00D85480"/>
    <w:rsid w:val="00D85B79"/>
    <w:rsid w:val="00D86393"/>
    <w:rsid w:val="00D8670D"/>
    <w:rsid w:val="00D8677C"/>
    <w:rsid w:val="00D87232"/>
    <w:rsid w:val="00D969E9"/>
    <w:rsid w:val="00D9712F"/>
    <w:rsid w:val="00DA66F7"/>
    <w:rsid w:val="00DA6D3E"/>
    <w:rsid w:val="00DB0E84"/>
    <w:rsid w:val="00DB6311"/>
    <w:rsid w:val="00DC456E"/>
    <w:rsid w:val="00DD14E7"/>
    <w:rsid w:val="00DD4321"/>
    <w:rsid w:val="00DD49AA"/>
    <w:rsid w:val="00DE084E"/>
    <w:rsid w:val="00DE7A4F"/>
    <w:rsid w:val="00DF2572"/>
    <w:rsid w:val="00DF30D0"/>
    <w:rsid w:val="00DF767D"/>
    <w:rsid w:val="00E02CB2"/>
    <w:rsid w:val="00E030BD"/>
    <w:rsid w:val="00E07FD5"/>
    <w:rsid w:val="00E1031E"/>
    <w:rsid w:val="00E10F6F"/>
    <w:rsid w:val="00E120B0"/>
    <w:rsid w:val="00E12DAE"/>
    <w:rsid w:val="00E13E65"/>
    <w:rsid w:val="00E17478"/>
    <w:rsid w:val="00E20848"/>
    <w:rsid w:val="00E23234"/>
    <w:rsid w:val="00E27FF2"/>
    <w:rsid w:val="00E31B7E"/>
    <w:rsid w:val="00E40DFF"/>
    <w:rsid w:val="00E44966"/>
    <w:rsid w:val="00E44BFA"/>
    <w:rsid w:val="00E508D0"/>
    <w:rsid w:val="00E55325"/>
    <w:rsid w:val="00E57F27"/>
    <w:rsid w:val="00E63A4E"/>
    <w:rsid w:val="00E676EB"/>
    <w:rsid w:val="00E677CE"/>
    <w:rsid w:val="00E67A3E"/>
    <w:rsid w:val="00E73836"/>
    <w:rsid w:val="00E73B6F"/>
    <w:rsid w:val="00E8145F"/>
    <w:rsid w:val="00E878ED"/>
    <w:rsid w:val="00E97181"/>
    <w:rsid w:val="00EB0D59"/>
    <w:rsid w:val="00EB30F3"/>
    <w:rsid w:val="00EC5300"/>
    <w:rsid w:val="00EC6CA1"/>
    <w:rsid w:val="00ED4510"/>
    <w:rsid w:val="00EE36FD"/>
    <w:rsid w:val="00EE4CDE"/>
    <w:rsid w:val="00EF5A67"/>
    <w:rsid w:val="00F017AA"/>
    <w:rsid w:val="00F07C17"/>
    <w:rsid w:val="00F128AD"/>
    <w:rsid w:val="00F150D8"/>
    <w:rsid w:val="00F170B9"/>
    <w:rsid w:val="00F177D3"/>
    <w:rsid w:val="00F204A1"/>
    <w:rsid w:val="00F22FF2"/>
    <w:rsid w:val="00F23EC7"/>
    <w:rsid w:val="00F25486"/>
    <w:rsid w:val="00F27BCF"/>
    <w:rsid w:val="00F302C0"/>
    <w:rsid w:val="00F32A62"/>
    <w:rsid w:val="00F342AC"/>
    <w:rsid w:val="00F348A8"/>
    <w:rsid w:val="00F42B9B"/>
    <w:rsid w:val="00F4350D"/>
    <w:rsid w:val="00F4635A"/>
    <w:rsid w:val="00F467FB"/>
    <w:rsid w:val="00F50FDD"/>
    <w:rsid w:val="00F51EEB"/>
    <w:rsid w:val="00F56857"/>
    <w:rsid w:val="00F574F8"/>
    <w:rsid w:val="00F63AF2"/>
    <w:rsid w:val="00F72E9A"/>
    <w:rsid w:val="00F7720A"/>
    <w:rsid w:val="00F77D90"/>
    <w:rsid w:val="00F90352"/>
    <w:rsid w:val="00F94A87"/>
    <w:rsid w:val="00F9666B"/>
    <w:rsid w:val="00F96F81"/>
    <w:rsid w:val="00FA51FE"/>
    <w:rsid w:val="00FA52FC"/>
    <w:rsid w:val="00FA5A7D"/>
    <w:rsid w:val="00FB2BCF"/>
    <w:rsid w:val="00FB5DDF"/>
    <w:rsid w:val="00FC33FF"/>
    <w:rsid w:val="00FC3F45"/>
    <w:rsid w:val="00FC4050"/>
    <w:rsid w:val="00FC790A"/>
    <w:rsid w:val="00FD3AF5"/>
    <w:rsid w:val="00FD5DEC"/>
    <w:rsid w:val="00FD718B"/>
    <w:rsid w:val="00FE1B55"/>
    <w:rsid w:val="00FF71B4"/>
    <w:rsid w:val="11775BDD"/>
    <w:rsid w:val="1592F858"/>
    <w:rsid w:val="180A978A"/>
    <w:rsid w:val="20F55CF8"/>
    <w:rsid w:val="22D746B0"/>
    <w:rsid w:val="262CEEB3"/>
    <w:rsid w:val="2690C4BF"/>
    <w:rsid w:val="27C854C2"/>
    <w:rsid w:val="29698814"/>
    <w:rsid w:val="2A747434"/>
    <w:rsid w:val="2E356294"/>
    <w:rsid w:val="3E164F89"/>
    <w:rsid w:val="3F3A37D6"/>
    <w:rsid w:val="411C6929"/>
    <w:rsid w:val="473BA629"/>
    <w:rsid w:val="49E91766"/>
    <w:rsid w:val="50F335FE"/>
    <w:rsid w:val="54562B31"/>
    <w:rsid w:val="553F252A"/>
    <w:rsid w:val="6099EC9C"/>
    <w:rsid w:val="633164D6"/>
    <w:rsid w:val="6970836E"/>
    <w:rsid w:val="722D1CDB"/>
    <w:rsid w:val="72E29E20"/>
    <w:rsid w:val="77B3AA01"/>
    <w:rsid w:val="7B6C59E5"/>
    <w:rsid w:val="7D01B499"/>
    <w:rsid w:val="7D37E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164D6"/>
  <w15:chartTrackingRefBased/>
  <w15:docId w15:val="{43D6D232-500C-4A99-98B0-6C24B78B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75"/>
    <w:rPr>
      <w:sz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E1B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AD2B50"/>
      <w:sz w:val="6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1B"/>
    <w:pPr>
      <w:keepNext/>
      <w:keepLines/>
      <w:spacing w:before="360" w:after="120" w:line="240" w:lineRule="auto"/>
      <w:outlineLvl w:val="1"/>
    </w:pPr>
    <w:rPr>
      <w:rFonts w:asciiTheme="majorHAnsi" w:eastAsia="Aptos" w:hAnsiTheme="majorHAnsi" w:cstheme="majorBidi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E1B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color w:val="AD2B50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AD2B50"/>
      <w:sz w:val="64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D86393"/>
    <w:rPr>
      <w:rFonts w:asciiTheme="majorHAnsi" w:eastAsia="Aptos" w:hAnsiTheme="majorHAnsi" w:cstheme="majorBidi"/>
      <w:sz w:val="40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D2B50"/>
      <w:sz w:val="32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AD2B50"/>
      <w:spacing w:val="-10"/>
      <w:kern w:val="28"/>
      <w:sz w:val="80"/>
      <w:szCs w:val="56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4A6F5E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olor w:val="AD2B50"/>
      <w:spacing w:val="-10"/>
      <w:kern w:val="28"/>
      <w:sz w:val="80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2E29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2E29E20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4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B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68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47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559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8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848"/>
    <w:rPr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E208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0EE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86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0EE"/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zca.edu.au/getattachment/c64aef58-e188-494a-b471-3c07b7149f0c/PS09-Guideline-on-sedation-and-or-analgesia-for-diagnostic-and-interventional-medical,-dental-or-surgical-procedures" TargetMode="External"/><Relationship Id="rId18" Type="http://schemas.openxmlformats.org/officeDocument/2006/relationships/hyperlink" Target="https://www.anzca.edu.au/getContentAsset/6296ef66-b43b-4dc6-938b-770f94ba7e6e/80feb437-d24d-46b8-a858-4a2a28b9b970/PG18-Anaesthesia-monitoring-2025.pdf?language=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nzca.edu.au/getattachment/d2c8053c-7e76-410e-93ce-3f9a56ffd881/PS07-Guideline-on-pre-anaesthesia-consultation-and-patient-preparation" TargetMode="External"/><Relationship Id="rId17" Type="http://schemas.openxmlformats.org/officeDocument/2006/relationships/hyperlink" Target="https://www.legislation.govt.nz/regulation/public/1984/0143/latest/DLM95668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act/public/1981/0118/latest/DLM53790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council.org.nz/assets_mlsb/Uploads/2025-Mar-Allocating-AT-Resource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nzca.edu.au/getattachment/17f3f75c-9164-41e6-a918-9f403261c8eb/PS51-Guideline-for-the-safe-management-and-use-of-medications-in-anaesthesia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health.govt.nz/publications/standing-order-guidel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nzca.edu.au/getattachment/eb9e199f-d862-479d-b3ee-d1a50beec0c7/PS19-Recommendations-on-monitored-care-by-an-anaesthetist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zca.edu.au/getattachment/c64aef58-e188-494a-b471-3c07b7149f0c/PS09-Guideline-on-sedation-and-or-analgesia-for-diagnostic-and-interventional-medical,-dental-or-surgical-procedur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ea260-342c-47b5-8995-a98a7c1eb916" xsi:nil="true"/>
    <lcf76f155ced4ddcb4097134ff3c332f xmlns="3d1b6efd-08f6-4afd-a8b7-9ffcbaa48a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A949EFB4A8F4A84AF97249E952FEC" ma:contentTypeVersion="14" ma:contentTypeDescription="Create a new document." ma:contentTypeScope="" ma:versionID="377b53ce441665db73bc85e935ef80c8">
  <xsd:schema xmlns:xsd="http://www.w3.org/2001/XMLSchema" xmlns:xs="http://www.w3.org/2001/XMLSchema" xmlns:p="http://schemas.microsoft.com/office/2006/metadata/properties" xmlns:ns2="3d1b6efd-08f6-4afd-a8b7-9ffcbaa48abb" xmlns:ns3="ff5ea260-342c-47b5-8995-a98a7c1eb916" targetNamespace="http://schemas.microsoft.com/office/2006/metadata/properties" ma:root="true" ma:fieldsID="ad518b6a53ad55caa8b6583b1843bf9c" ns2:_="" ns3:_="">
    <xsd:import namespace="3d1b6efd-08f6-4afd-a8b7-9ffcbaa48abb"/>
    <xsd:import namespace="ff5ea260-342c-47b5-8995-a98a7c1eb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b6efd-08f6-4afd-a8b7-9ffcbaa48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8d4bf3-93c0-46a3-8af0-cc39d7961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a260-342c-47b5-8995-a98a7c1eb9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17103-454b-43e3-a5d4-a02aa99bcc1a}" ma:internalName="TaxCatchAll" ma:showField="CatchAllData" ma:web="ff5ea260-342c-47b5-8995-a98a7c1eb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54369-7D1E-4652-94E4-E78BAFA54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FDF00-D2EC-4A18-BB05-AB5E022949C9}">
  <ds:schemaRefs>
    <ds:schemaRef ds:uri="http://schemas.microsoft.com/office/2006/metadata/properties"/>
    <ds:schemaRef ds:uri="http://schemas.microsoft.com/office/infopath/2007/PartnerControls"/>
    <ds:schemaRef ds:uri="ff5ea260-342c-47b5-8995-a98a7c1eb916"/>
    <ds:schemaRef ds:uri="3d1b6efd-08f6-4afd-a8b7-9ffcbaa48abb"/>
  </ds:schemaRefs>
</ds:datastoreItem>
</file>

<file path=customXml/itemProps3.xml><?xml version="1.0" encoding="utf-8"?>
<ds:datastoreItem xmlns:ds="http://schemas.openxmlformats.org/officeDocument/2006/customXml" ds:itemID="{E91C292A-9EA4-4E72-B8F5-4AE381647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C5293-B951-46C3-9B62-3FD26A121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b6efd-08f6-4afd-a8b7-9ffcbaa48abb"/>
    <ds:schemaRef ds:uri="ff5ea260-342c-47b5-8995-a98a7c1eb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1498</Words>
  <Characters>8541</Characters>
  <Application>Microsoft Office Word</Application>
  <DocSecurity>4</DocSecurity>
  <Lines>71</Lines>
  <Paragraphs>20</Paragraphs>
  <ScaleCrop>false</ScaleCrop>
  <Company/>
  <LinksUpToDate>false</LinksUpToDate>
  <CharactersWithSpaces>10019</CharactersWithSpaces>
  <SharedDoc>false</SharedDoc>
  <HLinks>
    <vt:vector size="60" baseType="variant">
      <vt:variant>
        <vt:i4>5505095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https://www.health.govt.nz/publications/standing-order-guidelines</vt:lpwstr>
      </vt:variant>
      <vt:variant>
        <vt:lpwstr/>
      </vt:variant>
      <vt:variant>
        <vt:i4>3735675</vt:i4>
      </vt:variant>
      <vt:variant>
        <vt:i4>21</vt:i4>
      </vt:variant>
      <vt:variant>
        <vt:i4>0</vt:i4>
      </vt:variant>
      <vt:variant>
        <vt:i4>5</vt:i4>
      </vt:variant>
      <vt:variant>
        <vt:lpwstr>https://www.anzca.edu.au/getContentAsset/6296ef66-b43b-4dc6-938b-770f94ba7e6e/80feb437-d24d-46b8-a858-4a2a28b9b970/PG18-Anaesthesia-monitoring-2025.pdf?language=en</vt:lpwstr>
      </vt:variant>
      <vt:variant>
        <vt:lpwstr/>
      </vt:variant>
      <vt:variant>
        <vt:i4>983058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https://www.legislation.govt.nz/regulation/public/1984/0143/latest/DLM95668.html</vt:lpwstr>
      </vt:variant>
      <vt:variant>
        <vt:lpwstr/>
      </vt:variant>
      <vt:variant>
        <vt:i4>1441879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https://www.legislation.govt.nz/act/public/1981/0118/latest/DLM53790.html</vt:lpwstr>
      </vt:variant>
      <vt:variant>
        <vt:lpwstr>DLM53789</vt:lpwstr>
      </vt:variant>
      <vt:variant>
        <vt:i4>4194317</vt:i4>
      </vt:variant>
      <vt:variant>
        <vt:i4>12</vt:i4>
      </vt:variant>
      <vt:variant>
        <vt:i4>0</vt:i4>
      </vt:variant>
      <vt:variant>
        <vt:i4>5</vt:i4>
      </vt:variant>
      <vt:variant>
        <vt:lpwstr>https://www.anzca.edu.au/getattachment/17f3f75c-9164-41e6-a918-9f403261c8eb/PS51-Guideline-for-the-safe-management-and-use-of-medications-in-anaesthesia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https://www.anzca.edu.au/getattachment/eb9e199f-d862-479d-b3ee-d1a50beec0c7/PS19-Recommendations-on-monitored-care-by-an-anaesthetist</vt:lpwstr>
      </vt:variant>
      <vt:variant>
        <vt:lpwstr/>
      </vt:variant>
      <vt:variant>
        <vt:i4>1507352</vt:i4>
      </vt:variant>
      <vt:variant>
        <vt:i4>6</vt:i4>
      </vt:variant>
      <vt:variant>
        <vt:i4>0</vt:i4>
      </vt:variant>
      <vt:variant>
        <vt:i4>5</vt:i4>
      </vt:variant>
      <vt:variant>
        <vt:lpwstr>https://www.anzca.edu.au/getattachment/c64aef58-e188-494a-b471-3c07b7149f0c/PS09-Guideline-on-sedation-and-or-analgesia-for-diagnostic-and-interventional-medical,-dental-or-surgical-procedures</vt:lpwstr>
      </vt:variant>
      <vt:variant>
        <vt:lpwstr/>
      </vt:variant>
      <vt:variant>
        <vt:i4>7340079</vt:i4>
      </vt:variant>
      <vt:variant>
        <vt:i4>3</vt:i4>
      </vt:variant>
      <vt:variant>
        <vt:i4>0</vt:i4>
      </vt:variant>
      <vt:variant>
        <vt:i4>5</vt:i4>
      </vt:variant>
      <vt:variant>
        <vt:lpwstr>https://www.anzca.edu.au/getattachment/d2c8053c-7e76-410e-93ce-3f9a56ffd881/PS07-Guideline-on-pre-anaesthesia-consultation-and-patient-preparation</vt:lpwstr>
      </vt:variant>
      <vt:variant>
        <vt:lpwstr/>
      </vt:variant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https://www.mscouncil.org.nz/assets_mlsb/Uploads/2025-Mar-Allocating-AT-Resources.pdf</vt:lpwstr>
      </vt:variant>
      <vt:variant>
        <vt:lpwstr/>
      </vt:variant>
      <vt:variant>
        <vt:i4>1507352</vt:i4>
      </vt:variant>
      <vt:variant>
        <vt:i4>0</vt:i4>
      </vt:variant>
      <vt:variant>
        <vt:i4>0</vt:i4>
      </vt:variant>
      <vt:variant>
        <vt:i4>5</vt:i4>
      </vt:variant>
      <vt:variant>
        <vt:lpwstr>https://www.anzca.edu.au/getattachment/c64aef58-e188-494a-b471-3c07b7149f0c/PS09-Guideline-on-sedation-and-or-analgesia-for-diagnostic-and-interventional-medical,-dental-or-surgical-procedures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Kenning - Staff</dc:creator>
  <cp:keywords/>
  <dc:description/>
  <cp:lastModifiedBy>Megan Kenning - Staff</cp:lastModifiedBy>
  <cp:revision>67</cp:revision>
  <dcterms:created xsi:type="dcterms:W3CDTF">2025-07-29T21:30:00Z</dcterms:created>
  <dcterms:modified xsi:type="dcterms:W3CDTF">2025-10-12T23:42:00Z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0x0101003FBA949EFB4A8F4A84AF97249E952FEC</vt:lpwstr>
  </property>
  <property fmtid="{D5CDD505-2E9C-101B-9397-08002B2CF9AE}" pid="3" name="MediaServiceImageTags">
    <vt:lpwstr/>
  </property>
</Properties>
</file>