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958D3" w14:textId="416162C8" w:rsidR="00666D74" w:rsidRDefault="00666D74" w:rsidP="009642D6">
      <w:pPr>
        <w:pStyle w:val="Title"/>
      </w:pPr>
      <w:r>
        <w:rPr>
          <w:noProof/>
        </w:rPr>
        <w:drawing>
          <wp:anchor distT="0" distB="0" distL="114300" distR="114300" simplePos="0" relativeHeight="251658240" behindDoc="0" locked="0" layoutInCell="1" allowOverlap="1" wp14:anchorId="50175B1C" wp14:editId="0250E64C">
            <wp:simplePos x="0" y="0"/>
            <wp:positionH relativeFrom="margin">
              <wp:posOffset>-1</wp:posOffset>
            </wp:positionH>
            <wp:positionV relativeFrom="paragraph">
              <wp:posOffset>-170688</wp:posOffset>
            </wp:positionV>
            <wp:extent cx="2069407" cy="968883"/>
            <wp:effectExtent l="0" t="0" r="7620" b="3175"/>
            <wp:wrapNone/>
            <wp:docPr id="155531785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17859"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158" cy="972980"/>
                    </a:xfrm>
                    <a:prstGeom prst="rect">
                      <a:avLst/>
                    </a:prstGeom>
                  </pic:spPr>
                </pic:pic>
              </a:graphicData>
            </a:graphic>
            <wp14:sizeRelH relativeFrom="page">
              <wp14:pctWidth>0</wp14:pctWidth>
            </wp14:sizeRelH>
            <wp14:sizeRelV relativeFrom="page">
              <wp14:pctHeight>0</wp14:pctHeight>
            </wp14:sizeRelV>
          </wp:anchor>
        </w:drawing>
      </w:r>
    </w:p>
    <w:p w14:paraId="2E0466D7" w14:textId="77777777" w:rsidR="00666D74" w:rsidRDefault="00666D74" w:rsidP="009642D6">
      <w:pPr>
        <w:pStyle w:val="Title"/>
      </w:pPr>
    </w:p>
    <w:p w14:paraId="79F840E1" w14:textId="749F97AC" w:rsidR="00BD4104" w:rsidRPr="00666D74" w:rsidRDefault="009642D6" w:rsidP="009642D6">
      <w:pPr>
        <w:pStyle w:val="Title"/>
        <w:rPr>
          <w:b/>
          <w:bCs/>
          <w:color w:val="AD2B50"/>
        </w:rPr>
      </w:pPr>
      <w:r w:rsidRPr="00666D74">
        <w:rPr>
          <w:b/>
          <w:bCs/>
          <w:color w:val="AD2B50"/>
        </w:rPr>
        <w:t>A</w:t>
      </w:r>
      <w:r w:rsidR="007D2EDA" w:rsidRPr="00666D74">
        <w:rPr>
          <w:b/>
          <w:bCs/>
          <w:color w:val="AD2B50"/>
        </w:rPr>
        <w:t>naesthetic technician</w:t>
      </w:r>
      <w:r w:rsidRPr="00666D74">
        <w:rPr>
          <w:b/>
          <w:bCs/>
          <w:color w:val="AD2B50"/>
        </w:rPr>
        <w:t xml:space="preserve"> fees</w:t>
      </w:r>
      <w:r w:rsidR="00F128EA">
        <w:rPr>
          <w:b/>
          <w:bCs/>
          <w:color w:val="AD2B50"/>
        </w:rPr>
        <w:t xml:space="preserve"> </w:t>
      </w:r>
      <w:proofErr w:type="gramStart"/>
      <w:r w:rsidR="00BA43A5">
        <w:rPr>
          <w:b/>
          <w:bCs/>
          <w:color w:val="AD2B50"/>
        </w:rPr>
        <w:t xml:space="preserve">- </w:t>
      </w:r>
      <w:r w:rsidRPr="00666D74">
        <w:rPr>
          <w:b/>
          <w:bCs/>
          <w:color w:val="AD2B50"/>
        </w:rPr>
        <w:t xml:space="preserve"> consultation</w:t>
      </w:r>
      <w:proofErr w:type="gramEnd"/>
      <w:r w:rsidRPr="00666D74">
        <w:rPr>
          <w:b/>
          <w:bCs/>
          <w:color w:val="AD2B50"/>
        </w:rPr>
        <w:t xml:space="preserve"> </w:t>
      </w:r>
      <w:r w:rsidR="00BE71AE" w:rsidRPr="00666D74">
        <w:rPr>
          <w:b/>
          <w:bCs/>
          <w:color w:val="AD2B50"/>
        </w:rPr>
        <w:t>outcome</w:t>
      </w:r>
    </w:p>
    <w:p w14:paraId="7C87EE9B" w14:textId="77777777" w:rsidR="00666D74" w:rsidRDefault="00666D74" w:rsidP="00A74F80"/>
    <w:p w14:paraId="384515B7" w14:textId="3C8684EC" w:rsidR="00EF5F81" w:rsidRDefault="00F5749F" w:rsidP="00A74F80">
      <w:r>
        <w:t>January 2026</w:t>
      </w:r>
    </w:p>
    <w:p w14:paraId="74440353" w14:textId="73E53243" w:rsidR="00DA3AE8" w:rsidRDefault="00F76BC2" w:rsidP="00DA3AE8">
      <w:r w:rsidRPr="00F76BC2">
        <w:t xml:space="preserve">Te </w:t>
      </w:r>
      <w:proofErr w:type="spellStart"/>
      <w:r w:rsidRPr="00F76BC2">
        <w:t>Kaunihera</w:t>
      </w:r>
      <w:proofErr w:type="spellEnd"/>
      <w:r w:rsidRPr="00F76BC2">
        <w:t xml:space="preserve"> </w:t>
      </w:r>
      <w:proofErr w:type="spellStart"/>
      <w:r w:rsidRPr="00F76BC2">
        <w:t>Pūtaiao</w:t>
      </w:r>
      <w:proofErr w:type="spellEnd"/>
      <w:r w:rsidRPr="00F76BC2">
        <w:t xml:space="preserve"> Hauora O Aotearoa | The Medical Sciences Council (the Council)</w:t>
      </w:r>
      <w:r>
        <w:t xml:space="preserve"> </w:t>
      </w:r>
      <w:r w:rsidR="00DA3AE8" w:rsidRPr="005772F0">
        <w:t xml:space="preserve">is responsible </w:t>
      </w:r>
      <w:r w:rsidR="00DA3AE8">
        <w:t>for protecting the health and safety of the public by ensuring that anaesthetic technic</w:t>
      </w:r>
      <w:r w:rsidR="004F5FC0">
        <w:t>ians working</w:t>
      </w:r>
      <w:r w:rsidR="00DA3AE8">
        <w:t xml:space="preserve"> in</w:t>
      </w:r>
      <w:r w:rsidR="0086557C">
        <w:t xml:space="preserve"> Aotearoa</w:t>
      </w:r>
      <w:r w:rsidR="00DA3AE8">
        <w:t xml:space="preserve"> New Zealand are competent and fit to </w:t>
      </w:r>
      <w:r w:rsidR="00F5749F">
        <w:t>practise</w:t>
      </w:r>
      <w:r w:rsidR="00DA3AE8">
        <w:t xml:space="preserve">. </w:t>
      </w:r>
    </w:p>
    <w:p w14:paraId="7759DD88" w14:textId="4B02BEDF" w:rsidR="00CF2372" w:rsidRDefault="00836803" w:rsidP="00836803">
      <w:pPr>
        <w:pStyle w:val="Heading2"/>
      </w:pPr>
      <w:r>
        <w:t>Background</w:t>
      </w:r>
    </w:p>
    <w:p w14:paraId="68996804" w14:textId="7CBEED39" w:rsidR="00CF2372" w:rsidRDefault="00CF2372" w:rsidP="00CF2372">
      <w:pPr>
        <w:rPr>
          <w:rStyle w:val="Hyperlink"/>
        </w:rPr>
      </w:pPr>
      <w:r w:rsidRPr="00B80316">
        <w:t xml:space="preserve">The </w:t>
      </w:r>
      <w:r>
        <w:t>Council</w:t>
      </w:r>
      <w:r w:rsidRPr="00B80316">
        <w:t xml:space="preserve"> is legally required to consult when proposing changes to its fees and </w:t>
      </w:r>
      <w:r w:rsidRPr="00B331DA">
        <w:t>h</w:t>
      </w:r>
      <w:r>
        <w:t>as recently consulted with practitioners and other stakeholders about a proposal to increase</w:t>
      </w:r>
      <w:r w:rsidRPr="005772F0">
        <w:t xml:space="preserve"> </w:t>
      </w:r>
      <w:r>
        <w:t xml:space="preserve">most </w:t>
      </w:r>
      <w:r w:rsidRPr="005772F0">
        <w:t>fee</w:t>
      </w:r>
      <w:r>
        <w:t xml:space="preserve">s charged </w:t>
      </w:r>
      <w:r w:rsidRPr="005772F0">
        <w:t xml:space="preserve">for the 2026–2027 financial year. </w:t>
      </w:r>
      <w:r>
        <w:t>The consultation ran from 23 October to 3 December 2025</w:t>
      </w:r>
      <w:r w:rsidR="00836803">
        <w:t xml:space="preserve"> </w:t>
      </w:r>
      <w:hyperlink r:id="rId9" w:history="1">
        <w:r w:rsidR="00836803" w:rsidRPr="00EF5F81">
          <w:rPr>
            <w:rStyle w:val="Hyperlink"/>
          </w:rPr>
          <w:t>Oct 2025 Consultation: proposed AT fee changes 2026/2027 | Medical Sciences Council of New Zealand</w:t>
        </w:r>
      </w:hyperlink>
      <w:r>
        <w:t xml:space="preserve"> </w:t>
      </w:r>
    </w:p>
    <w:p w14:paraId="60384688" w14:textId="77777777" w:rsidR="00CF2372" w:rsidRPr="005772F0" w:rsidRDefault="00CF2372" w:rsidP="00CF2372">
      <w:r>
        <w:t xml:space="preserve">The Council does not receive direct government funding. Its costs are covered by </w:t>
      </w:r>
      <w:r w:rsidRPr="005772F0">
        <w:t>fees for services provided to practitioners, under the Health Practitioners Competence Assurance Act 2003</w:t>
      </w:r>
      <w:r>
        <w:t xml:space="preserve"> (the Act</w:t>
      </w:r>
      <w:r w:rsidRPr="005772F0">
        <w:t xml:space="preserve">). The </w:t>
      </w:r>
      <w:r>
        <w:t>Council</w:t>
      </w:r>
      <w:r w:rsidRPr="005772F0">
        <w:t xml:space="preserve"> can also charge a levy to cover disciplinary costs.</w:t>
      </w:r>
    </w:p>
    <w:p w14:paraId="6A64FD60" w14:textId="5056E6AE" w:rsidR="00CF2372" w:rsidRDefault="00CF2372" w:rsidP="00DA3AE8">
      <w:r>
        <w:t>The Council wishes to acknowledge those who took the time to provide feedback on the proposal.</w:t>
      </w:r>
    </w:p>
    <w:p w14:paraId="494B335E" w14:textId="53F1EB72" w:rsidR="00676741" w:rsidRPr="004D6CF4" w:rsidRDefault="00DF2B50" w:rsidP="004D6CF4">
      <w:pPr>
        <w:pStyle w:val="Heading2"/>
      </w:pPr>
      <w:r w:rsidRPr="004D6CF4">
        <w:t>Consultation outcome</w:t>
      </w:r>
      <w:r w:rsidR="00676741" w:rsidRPr="004D6CF4">
        <w:t xml:space="preserve"> </w:t>
      </w:r>
    </w:p>
    <w:p w14:paraId="0EAC7ECB" w14:textId="1E9CF59C" w:rsidR="006D3417" w:rsidRDefault="006D3417" w:rsidP="006D3417">
      <w:pPr>
        <w:spacing w:after="0" w:line="300" w:lineRule="atLeast"/>
        <w:rPr>
          <w:rFonts w:eastAsia="Times New Roman" w:cs="Segoe UI"/>
          <w:lang w:eastAsia="en-NZ"/>
        </w:rPr>
      </w:pPr>
      <w:r w:rsidRPr="006F30A3">
        <w:rPr>
          <w:rFonts w:eastAsia="Times New Roman" w:cs="Segoe UI"/>
          <w:lang w:eastAsia="en-NZ"/>
        </w:rPr>
        <w:t>Th</w:t>
      </w:r>
      <w:r>
        <w:rPr>
          <w:rFonts w:eastAsia="Times New Roman" w:cs="Segoe UI"/>
          <w:lang w:eastAsia="en-NZ"/>
        </w:rPr>
        <w:t xml:space="preserve">e Council’s decision on the annual practising certificate fee and disciplinary levy is outlined in the table below. Most fees will increase by approximately </w:t>
      </w:r>
      <w:r w:rsidR="00B76038">
        <w:rPr>
          <w:rFonts w:eastAsia="Times New Roman" w:cs="Segoe UI"/>
          <w:lang w:eastAsia="en-NZ"/>
        </w:rPr>
        <w:t>five</w:t>
      </w:r>
      <w:r>
        <w:rPr>
          <w:rFonts w:eastAsia="Times New Roman" w:cs="Segoe UI"/>
          <w:lang w:eastAsia="en-NZ"/>
        </w:rPr>
        <w:t xml:space="preserve"> percent, for most practitioners this means an increase to the APC </w:t>
      </w:r>
      <w:r w:rsidRPr="00E942B9">
        <w:rPr>
          <w:rFonts w:eastAsia="Times New Roman" w:cs="Segoe UI"/>
          <w:lang w:eastAsia="en-NZ"/>
        </w:rPr>
        <w:t>fee of $</w:t>
      </w:r>
      <w:r w:rsidR="00E942B9" w:rsidRPr="00E942B9">
        <w:rPr>
          <w:rFonts w:eastAsia="Times New Roman" w:cs="Segoe UI"/>
          <w:lang w:eastAsia="en-NZ"/>
        </w:rPr>
        <w:t>25.01</w:t>
      </w:r>
      <w:r w:rsidRPr="00FE502D">
        <w:rPr>
          <w:rFonts w:eastAsia="Times New Roman" w:cs="Segoe UI"/>
          <w:lang w:eastAsia="en-NZ"/>
        </w:rPr>
        <w:t xml:space="preserve"> (inc</w:t>
      </w:r>
      <w:r w:rsidR="00710E9D">
        <w:rPr>
          <w:rFonts w:eastAsia="Times New Roman" w:cs="Segoe UI"/>
          <w:lang w:eastAsia="en-NZ"/>
        </w:rPr>
        <w:t>.</w:t>
      </w:r>
      <w:r w:rsidRPr="00FE502D">
        <w:rPr>
          <w:rFonts w:eastAsia="Times New Roman" w:cs="Segoe UI"/>
          <w:lang w:eastAsia="en-NZ"/>
        </w:rPr>
        <w:t xml:space="preserve"> GST)</w:t>
      </w:r>
      <w:r>
        <w:rPr>
          <w:rFonts w:eastAsia="Times New Roman" w:cs="Segoe UI"/>
          <w:lang w:eastAsia="en-NZ"/>
        </w:rPr>
        <w:t>. The Council has retained the disciplinary levy at the 2025</w:t>
      </w:r>
      <w:r w:rsidR="00710E9D">
        <w:rPr>
          <w:rFonts w:eastAsia="Times New Roman" w:cs="Segoe UI"/>
          <w:lang w:eastAsia="en-NZ"/>
        </w:rPr>
        <w:t>-</w:t>
      </w:r>
      <w:r>
        <w:rPr>
          <w:rFonts w:eastAsia="Times New Roman" w:cs="Segoe UI"/>
          <w:lang w:eastAsia="en-NZ"/>
        </w:rPr>
        <w:t xml:space="preserve">2026 level. </w:t>
      </w:r>
    </w:p>
    <w:p w14:paraId="73DEB3D5" w14:textId="77777777" w:rsidR="00564F16" w:rsidRDefault="00564F16" w:rsidP="00E655EF">
      <w:pPr>
        <w:spacing w:after="0" w:line="300" w:lineRule="atLeast"/>
        <w:rPr>
          <w:rFonts w:eastAsia="Times New Roman" w:cs="Segoe UI"/>
          <w:lang w:eastAsia="en-NZ"/>
        </w:rPr>
      </w:pPr>
    </w:p>
    <w:p w14:paraId="5B8A06D3" w14:textId="03CDD633" w:rsidR="00FD266E" w:rsidRDefault="00FD266E" w:rsidP="00DD1F17">
      <w:pPr>
        <w:pStyle w:val="Caption"/>
        <w:keepNext/>
      </w:pPr>
      <w:r>
        <w:t xml:space="preserve">Table </w:t>
      </w:r>
      <w:fldSimple w:instr=" SEQ Table \* ARABIC ">
        <w:r w:rsidR="00087222">
          <w:rPr>
            <w:noProof/>
          </w:rPr>
          <w:t>1</w:t>
        </w:r>
      </w:fldSimple>
      <w:r>
        <w:t xml:space="preserve">: APC and disciplinary levy fees for anaesthetic technicians. The full schedule of fees is available from the resources section on the Council's </w:t>
      </w:r>
      <w:r w:rsidRPr="006D5B54">
        <w:t>website</w:t>
      </w:r>
      <w:r w:rsidR="006D5B54" w:rsidRPr="006D5B54">
        <w:t xml:space="preserve"> </w:t>
      </w:r>
      <w:hyperlink r:id="rId10" w:history="1">
        <w:r w:rsidR="006D5B54" w:rsidRPr="002566C8">
          <w:rPr>
            <w:rStyle w:val="Hyperlink"/>
          </w:rPr>
          <w:t>here</w:t>
        </w:r>
      </w:hyperlink>
      <w:r w:rsidRPr="006D5B54">
        <w:t>.</w:t>
      </w:r>
    </w:p>
    <w:tbl>
      <w:tblPr>
        <w:tblStyle w:val="TableGrid"/>
        <w:tblW w:w="0" w:type="auto"/>
        <w:tblLook w:val="04A0" w:firstRow="1" w:lastRow="0" w:firstColumn="1" w:lastColumn="0" w:noHBand="0" w:noVBand="1"/>
      </w:tblPr>
      <w:tblGrid>
        <w:gridCol w:w="2379"/>
        <w:gridCol w:w="2338"/>
        <w:gridCol w:w="2339"/>
        <w:gridCol w:w="1960"/>
      </w:tblGrid>
      <w:tr w:rsidR="00F251F0" w14:paraId="3132655A" w14:textId="77777777">
        <w:tc>
          <w:tcPr>
            <w:tcW w:w="2379" w:type="dxa"/>
          </w:tcPr>
          <w:p w14:paraId="1036CD59" w14:textId="77777777" w:rsidR="00F251F0" w:rsidRDefault="00F251F0">
            <w:pPr>
              <w:spacing w:line="300" w:lineRule="atLeast"/>
              <w:rPr>
                <w:rFonts w:eastAsia="Times New Roman" w:cs="Segoe UI"/>
                <w:lang w:eastAsia="en-NZ"/>
              </w:rPr>
            </w:pPr>
          </w:p>
        </w:tc>
        <w:tc>
          <w:tcPr>
            <w:tcW w:w="2338" w:type="dxa"/>
          </w:tcPr>
          <w:p w14:paraId="217095EB" w14:textId="77777777" w:rsidR="00F251F0" w:rsidRDefault="00F251F0">
            <w:pPr>
              <w:spacing w:line="300" w:lineRule="atLeast"/>
              <w:rPr>
                <w:rFonts w:eastAsia="Times New Roman" w:cs="Segoe UI"/>
                <w:lang w:eastAsia="en-NZ"/>
              </w:rPr>
            </w:pPr>
            <w:r>
              <w:rPr>
                <w:rFonts w:eastAsia="Times New Roman" w:cs="Segoe UI"/>
                <w:lang w:eastAsia="en-NZ"/>
              </w:rPr>
              <w:t>2025/2026 fee (Inc GST)</w:t>
            </w:r>
          </w:p>
        </w:tc>
        <w:tc>
          <w:tcPr>
            <w:tcW w:w="2339" w:type="dxa"/>
          </w:tcPr>
          <w:p w14:paraId="77340FE4" w14:textId="77777777" w:rsidR="00F251F0" w:rsidRPr="00E942B9" w:rsidRDefault="00F251F0">
            <w:pPr>
              <w:spacing w:line="300" w:lineRule="atLeast"/>
              <w:rPr>
                <w:rFonts w:eastAsia="Times New Roman" w:cs="Segoe UI"/>
                <w:lang w:eastAsia="en-NZ"/>
              </w:rPr>
            </w:pPr>
            <w:r w:rsidRPr="00E942B9">
              <w:rPr>
                <w:rFonts w:eastAsia="Times New Roman" w:cs="Segoe UI"/>
                <w:lang w:eastAsia="en-NZ"/>
              </w:rPr>
              <w:t>2026/2027 fee (Inc GST)</w:t>
            </w:r>
          </w:p>
        </w:tc>
        <w:tc>
          <w:tcPr>
            <w:tcW w:w="1960" w:type="dxa"/>
          </w:tcPr>
          <w:p w14:paraId="23528E86" w14:textId="77777777" w:rsidR="00F251F0" w:rsidRDefault="00F251F0">
            <w:pPr>
              <w:spacing w:line="300" w:lineRule="atLeast"/>
              <w:rPr>
                <w:rFonts w:eastAsia="Times New Roman" w:cs="Segoe UI"/>
                <w:lang w:eastAsia="en-NZ"/>
              </w:rPr>
            </w:pPr>
            <w:r>
              <w:rPr>
                <w:rFonts w:eastAsia="Times New Roman" w:cs="Segoe UI"/>
                <w:lang w:eastAsia="en-NZ"/>
              </w:rPr>
              <w:t>Change</w:t>
            </w:r>
          </w:p>
        </w:tc>
      </w:tr>
      <w:tr w:rsidR="00F251F0" w14:paraId="21F200F2" w14:textId="77777777">
        <w:tc>
          <w:tcPr>
            <w:tcW w:w="2379" w:type="dxa"/>
          </w:tcPr>
          <w:p w14:paraId="7566E9C9" w14:textId="77777777" w:rsidR="00F251F0" w:rsidRDefault="00F251F0">
            <w:pPr>
              <w:spacing w:line="300" w:lineRule="atLeast"/>
              <w:rPr>
                <w:rFonts w:eastAsia="Times New Roman" w:cs="Segoe UI"/>
                <w:lang w:eastAsia="en-NZ"/>
              </w:rPr>
            </w:pPr>
            <w:r>
              <w:rPr>
                <w:rFonts w:eastAsia="Times New Roman" w:cs="Segoe UI"/>
                <w:lang w:eastAsia="en-NZ"/>
              </w:rPr>
              <w:t>Renewal of an Annual practising certificate before 31 March</w:t>
            </w:r>
          </w:p>
        </w:tc>
        <w:tc>
          <w:tcPr>
            <w:tcW w:w="2338" w:type="dxa"/>
          </w:tcPr>
          <w:p w14:paraId="0823B7CA" w14:textId="15B00D10" w:rsidR="00F251F0" w:rsidRDefault="005D4E1F">
            <w:pPr>
              <w:spacing w:line="300" w:lineRule="atLeast"/>
              <w:rPr>
                <w:rFonts w:eastAsia="Times New Roman" w:cs="Segoe UI"/>
                <w:lang w:eastAsia="en-NZ"/>
              </w:rPr>
            </w:pPr>
            <w:r>
              <w:rPr>
                <w:rFonts w:eastAsia="Times New Roman" w:cs="Segoe UI"/>
                <w:lang w:eastAsia="en-NZ"/>
              </w:rPr>
              <w:t>$494.99</w:t>
            </w:r>
          </w:p>
        </w:tc>
        <w:tc>
          <w:tcPr>
            <w:tcW w:w="2339" w:type="dxa"/>
          </w:tcPr>
          <w:p w14:paraId="5D4E65EC" w14:textId="2B83057E" w:rsidR="00F251F0" w:rsidRPr="00E942B9" w:rsidRDefault="00F251F0">
            <w:pPr>
              <w:spacing w:line="300" w:lineRule="atLeast"/>
              <w:rPr>
                <w:rFonts w:eastAsia="Times New Roman" w:cs="Segoe UI"/>
                <w:lang w:eastAsia="en-NZ"/>
              </w:rPr>
            </w:pPr>
            <w:r w:rsidRPr="00E942B9">
              <w:rPr>
                <w:rFonts w:eastAsia="Times New Roman" w:cs="Segoe UI"/>
                <w:lang w:eastAsia="en-NZ"/>
              </w:rPr>
              <w:t>$</w:t>
            </w:r>
            <w:r w:rsidR="00CE3EDC" w:rsidRPr="00E942B9">
              <w:rPr>
                <w:rFonts w:eastAsia="Times New Roman" w:cs="Segoe UI"/>
                <w:lang w:eastAsia="en-NZ"/>
              </w:rPr>
              <w:t>520.00</w:t>
            </w:r>
          </w:p>
        </w:tc>
        <w:tc>
          <w:tcPr>
            <w:tcW w:w="1960" w:type="dxa"/>
          </w:tcPr>
          <w:p w14:paraId="23A8E8A6" w14:textId="5E5E0230" w:rsidR="00F251F0" w:rsidRDefault="00F251F0">
            <w:pPr>
              <w:spacing w:line="300" w:lineRule="atLeast"/>
              <w:rPr>
                <w:rFonts w:eastAsia="Times New Roman" w:cs="Segoe UI"/>
                <w:lang w:eastAsia="en-NZ"/>
              </w:rPr>
            </w:pPr>
            <w:r>
              <w:rPr>
                <w:rFonts w:eastAsia="Times New Roman" w:cs="Segoe UI"/>
                <w:lang w:eastAsia="en-NZ"/>
              </w:rPr>
              <w:t>+$</w:t>
            </w:r>
            <w:r w:rsidR="00E942B9">
              <w:rPr>
                <w:rFonts w:eastAsia="Times New Roman" w:cs="Segoe UI"/>
                <w:lang w:eastAsia="en-NZ"/>
              </w:rPr>
              <w:t>25.01</w:t>
            </w:r>
          </w:p>
        </w:tc>
      </w:tr>
      <w:tr w:rsidR="00F251F0" w14:paraId="57BCEEC1" w14:textId="77777777">
        <w:tc>
          <w:tcPr>
            <w:tcW w:w="2379" w:type="dxa"/>
          </w:tcPr>
          <w:p w14:paraId="5C1B192E" w14:textId="77777777" w:rsidR="00F251F0" w:rsidRDefault="00F251F0">
            <w:pPr>
              <w:spacing w:line="300" w:lineRule="atLeast"/>
              <w:rPr>
                <w:rFonts w:eastAsia="Times New Roman" w:cs="Segoe UI"/>
                <w:lang w:eastAsia="en-NZ"/>
              </w:rPr>
            </w:pPr>
            <w:r>
              <w:rPr>
                <w:rFonts w:eastAsia="Times New Roman" w:cs="Segoe UI"/>
                <w:lang w:eastAsia="en-NZ"/>
              </w:rPr>
              <w:t>Disciplinary levy</w:t>
            </w:r>
          </w:p>
        </w:tc>
        <w:tc>
          <w:tcPr>
            <w:tcW w:w="2338" w:type="dxa"/>
          </w:tcPr>
          <w:p w14:paraId="16A1EEAD" w14:textId="4CF67B0F" w:rsidR="00F251F0" w:rsidRDefault="00F251F0">
            <w:pPr>
              <w:spacing w:line="300" w:lineRule="atLeast"/>
              <w:rPr>
                <w:rFonts w:eastAsia="Times New Roman" w:cs="Segoe UI"/>
                <w:lang w:eastAsia="en-NZ"/>
              </w:rPr>
            </w:pPr>
            <w:r>
              <w:rPr>
                <w:rFonts w:eastAsia="Times New Roman" w:cs="Segoe UI"/>
                <w:lang w:eastAsia="en-NZ"/>
              </w:rPr>
              <w:t>$</w:t>
            </w:r>
            <w:r w:rsidR="00CE3EDC">
              <w:rPr>
                <w:rFonts w:eastAsia="Times New Roman" w:cs="Segoe UI"/>
                <w:lang w:eastAsia="en-NZ"/>
              </w:rPr>
              <w:t>57.50</w:t>
            </w:r>
          </w:p>
        </w:tc>
        <w:tc>
          <w:tcPr>
            <w:tcW w:w="2339" w:type="dxa"/>
          </w:tcPr>
          <w:p w14:paraId="5D4E2B14" w14:textId="37E30B41" w:rsidR="00F251F0" w:rsidRPr="00E942B9" w:rsidRDefault="00F251F0">
            <w:pPr>
              <w:spacing w:line="300" w:lineRule="atLeast"/>
              <w:rPr>
                <w:rFonts w:eastAsia="Times New Roman" w:cs="Segoe UI"/>
                <w:lang w:eastAsia="en-NZ"/>
              </w:rPr>
            </w:pPr>
            <w:r w:rsidRPr="00E942B9">
              <w:rPr>
                <w:rFonts w:eastAsia="Times New Roman" w:cs="Segoe UI"/>
                <w:lang w:eastAsia="en-NZ"/>
              </w:rPr>
              <w:t>$</w:t>
            </w:r>
            <w:r w:rsidR="00CE3EDC" w:rsidRPr="00E942B9">
              <w:rPr>
                <w:rFonts w:eastAsia="Times New Roman" w:cs="Segoe UI"/>
                <w:lang w:eastAsia="en-NZ"/>
              </w:rPr>
              <w:t>57.50</w:t>
            </w:r>
          </w:p>
        </w:tc>
        <w:tc>
          <w:tcPr>
            <w:tcW w:w="1960" w:type="dxa"/>
          </w:tcPr>
          <w:p w14:paraId="1AD77C01" w14:textId="77777777" w:rsidR="00F251F0" w:rsidRDefault="00F251F0">
            <w:pPr>
              <w:spacing w:line="300" w:lineRule="atLeast"/>
              <w:rPr>
                <w:rFonts w:eastAsia="Times New Roman" w:cs="Segoe UI"/>
                <w:lang w:eastAsia="en-NZ"/>
              </w:rPr>
            </w:pPr>
            <w:r>
              <w:rPr>
                <w:rFonts w:eastAsia="Times New Roman" w:cs="Segoe UI"/>
                <w:lang w:eastAsia="en-NZ"/>
              </w:rPr>
              <w:t>No Change</w:t>
            </w:r>
          </w:p>
        </w:tc>
      </w:tr>
    </w:tbl>
    <w:p w14:paraId="62244EE0" w14:textId="77777777" w:rsidR="00564F16" w:rsidRDefault="00564F16" w:rsidP="00E655EF">
      <w:pPr>
        <w:spacing w:after="0" w:line="300" w:lineRule="atLeast"/>
        <w:rPr>
          <w:rFonts w:eastAsia="Times New Roman" w:cs="Segoe UI"/>
          <w:lang w:eastAsia="en-NZ"/>
        </w:rPr>
      </w:pPr>
    </w:p>
    <w:p w14:paraId="68059B9D" w14:textId="15D61002" w:rsidR="004314E8" w:rsidRDefault="003A367C" w:rsidP="003A367C">
      <w:pPr>
        <w:spacing w:after="0" w:line="300" w:lineRule="atLeast"/>
        <w:rPr>
          <w:rFonts w:eastAsia="Times New Roman" w:cs="Segoe UI"/>
          <w:lang w:eastAsia="en-NZ"/>
        </w:rPr>
      </w:pPr>
      <w:r w:rsidRPr="006F30A3">
        <w:rPr>
          <w:rFonts w:eastAsia="Times New Roman" w:cs="Segoe UI"/>
          <w:lang w:eastAsia="en-NZ"/>
        </w:rPr>
        <w:lastRenderedPageBreak/>
        <w:t xml:space="preserve">The </w:t>
      </w:r>
      <w:r w:rsidR="00022567">
        <w:rPr>
          <w:rFonts w:eastAsia="Times New Roman" w:cs="Segoe UI"/>
          <w:lang w:eastAsia="en-NZ"/>
        </w:rPr>
        <w:t xml:space="preserve">Council </w:t>
      </w:r>
      <w:r w:rsidRPr="006F30A3">
        <w:rPr>
          <w:rFonts w:eastAsia="Times New Roman" w:cs="Segoe UI"/>
          <w:lang w:eastAsia="en-NZ"/>
        </w:rPr>
        <w:t xml:space="preserve">carefully reviewed </w:t>
      </w:r>
      <w:r w:rsidR="00710E9D">
        <w:rPr>
          <w:rFonts w:eastAsia="Times New Roman" w:cs="Segoe UI"/>
          <w:lang w:eastAsia="en-NZ"/>
        </w:rPr>
        <w:t xml:space="preserve">the consultation feedback and </w:t>
      </w:r>
      <w:r w:rsidRPr="006F30A3">
        <w:rPr>
          <w:rFonts w:eastAsia="Times New Roman" w:cs="Segoe UI"/>
          <w:lang w:eastAsia="en-NZ"/>
        </w:rPr>
        <w:t>the comments before making its decision</w:t>
      </w:r>
      <w:r>
        <w:rPr>
          <w:rFonts w:eastAsia="Times New Roman" w:cs="Segoe UI"/>
          <w:lang w:eastAsia="en-NZ"/>
        </w:rPr>
        <w:t xml:space="preserve"> and considered several alternatives to increasing its fees by the</w:t>
      </w:r>
      <w:r w:rsidR="004314E8">
        <w:rPr>
          <w:rFonts w:eastAsia="Times New Roman" w:cs="Segoe UI"/>
          <w:lang w:eastAsia="en-NZ"/>
        </w:rPr>
        <w:t xml:space="preserve"> amount</w:t>
      </w:r>
      <w:r>
        <w:rPr>
          <w:rFonts w:eastAsia="Times New Roman" w:cs="Segoe UI"/>
          <w:lang w:eastAsia="en-NZ"/>
        </w:rPr>
        <w:t xml:space="preserve"> propos</w:t>
      </w:r>
      <w:r w:rsidR="004314E8">
        <w:rPr>
          <w:rFonts w:eastAsia="Times New Roman" w:cs="Segoe UI"/>
          <w:lang w:eastAsia="en-NZ"/>
        </w:rPr>
        <w:t xml:space="preserve">ed in the consultation document. Options considered included </w:t>
      </w:r>
      <w:r w:rsidR="00D10774">
        <w:rPr>
          <w:rFonts w:eastAsia="Times New Roman" w:cs="Segoe UI"/>
          <w:lang w:eastAsia="en-NZ"/>
        </w:rPr>
        <w:t xml:space="preserve">the effect of no increase, or of a smaller increase than proposed. </w:t>
      </w:r>
      <w:r w:rsidR="00022567">
        <w:rPr>
          <w:rFonts w:eastAsia="Times New Roman" w:cs="Segoe UI"/>
          <w:lang w:eastAsia="en-NZ"/>
        </w:rPr>
        <w:t xml:space="preserve"> </w:t>
      </w:r>
    </w:p>
    <w:p w14:paraId="79FFBE98" w14:textId="248F46F5" w:rsidR="003A367C" w:rsidRDefault="003A367C" w:rsidP="003A367C">
      <w:pPr>
        <w:spacing w:after="0" w:line="300" w:lineRule="atLeast"/>
        <w:rPr>
          <w:rFonts w:eastAsia="Times New Roman" w:cs="Segoe UI"/>
          <w:lang w:eastAsia="en-NZ"/>
        </w:rPr>
      </w:pPr>
      <w:r>
        <w:rPr>
          <w:rFonts w:eastAsia="Times New Roman" w:cs="Segoe UI"/>
          <w:lang w:eastAsia="en-NZ"/>
        </w:rPr>
        <w:t xml:space="preserve">Ultimately, the </w:t>
      </w:r>
      <w:r w:rsidR="00D10774">
        <w:rPr>
          <w:rFonts w:eastAsia="Times New Roman" w:cs="Segoe UI"/>
          <w:lang w:eastAsia="en-NZ"/>
        </w:rPr>
        <w:t>Council</w:t>
      </w:r>
      <w:r>
        <w:rPr>
          <w:rFonts w:eastAsia="Times New Roman" w:cs="Segoe UI"/>
          <w:lang w:eastAsia="en-NZ"/>
        </w:rPr>
        <w:t xml:space="preserve"> decided that an increase</w:t>
      </w:r>
      <w:r w:rsidR="00DA3B20">
        <w:rPr>
          <w:rFonts w:eastAsia="Times New Roman" w:cs="Segoe UI"/>
          <w:lang w:eastAsia="en-NZ"/>
        </w:rPr>
        <w:t xml:space="preserve"> to most fees</w:t>
      </w:r>
      <w:r>
        <w:rPr>
          <w:rFonts w:eastAsia="Times New Roman" w:cs="Segoe UI"/>
          <w:lang w:eastAsia="en-NZ"/>
        </w:rPr>
        <w:t xml:space="preserve"> is required f</w:t>
      </w:r>
      <w:r w:rsidRPr="006F30A3">
        <w:rPr>
          <w:rFonts w:eastAsia="Times New Roman" w:cs="Segoe UI"/>
          <w:lang w:eastAsia="en-NZ"/>
        </w:rPr>
        <w:t>or the 2026</w:t>
      </w:r>
      <w:r w:rsidR="00AC4EC1">
        <w:rPr>
          <w:rFonts w:eastAsia="Times New Roman" w:cs="Segoe UI"/>
          <w:lang w:eastAsia="en-NZ"/>
        </w:rPr>
        <w:t>-</w:t>
      </w:r>
      <w:r w:rsidRPr="006F30A3">
        <w:rPr>
          <w:rFonts w:eastAsia="Times New Roman" w:cs="Segoe UI"/>
          <w:lang w:eastAsia="en-NZ"/>
        </w:rPr>
        <w:t>2027 practising year</w:t>
      </w:r>
      <w:r w:rsidR="003C306B">
        <w:rPr>
          <w:rFonts w:eastAsia="Times New Roman" w:cs="Segoe UI"/>
          <w:lang w:eastAsia="en-NZ"/>
        </w:rPr>
        <w:t xml:space="preserve">, however the increase </w:t>
      </w:r>
      <w:r w:rsidR="006D4A15">
        <w:rPr>
          <w:rFonts w:eastAsia="Times New Roman" w:cs="Segoe UI"/>
          <w:lang w:eastAsia="en-NZ"/>
        </w:rPr>
        <w:t xml:space="preserve">is to be </w:t>
      </w:r>
      <w:r w:rsidR="00402540">
        <w:rPr>
          <w:rFonts w:eastAsia="Times New Roman" w:cs="Segoe UI"/>
          <w:lang w:eastAsia="en-NZ"/>
        </w:rPr>
        <w:t>five (</w:t>
      </w:r>
      <w:r w:rsidR="006D4A15">
        <w:rPr>
          <w:rFonts w:eastAsia="Times New Roman" w:cs="Segoe UI"/>
          <w:lang w:eastAsia="en-NZ"/>
        </w:rPr>
        <w:t>5</w:t>
      </w:r>
      <w:r w:rsidR="00402540">
        <w:rPr>
          <w:rFonts w:eastAsia="Times New Roman" w:cs="Segoe UI"/>
          <w:lang w:eastAsia="en-NZ"/>
        </w:rPr>
        <w:t>)</w:t>
      </w:r>
      <w:r w:rsidR="00262265">
        <w:rPr>
          <w:rFonts w:eastAsia="Times New Roman" w:cs="Segoe UI"/>
          <w:lang w:eastAsia="en-NZ"/>
        </w:rPr>
        <w:t xml:space="preserve"> percent</w:t>
      </w:r>
      <w:r w:rsidR="006D4A15">
        <w:rPr>
          <w:rFonts w:eastAsia="Times New Roman" w:cs="Segoe UI"/>
          <w:lang w:eastAsia="en-NZ"/>
        </w:rPr>
        <w:t xml:space="preserve"> which is less than that proposed in the consultation where the proposal was to be </w:t>
      </w:r>
      <w:r w:rsidR="00D45500">
        <w:rPr>
          <w:rFonts w:eastAsia="Times New Roman" w:cs="Segoe UI"/>
          <w:lang w:eastAsia="en-NZ"/>
        </w:rPr>
        <w:t xml:space="preserve">seven and a half </w:t>
      </w:r>
      <w:r w:rsidR="00402540">
        <w:rPr>
          <w:rFonts w:eastAsia="Times New Roman" w:cs="Segoe UI"/>
          <w:lang w:eastAsia="en-NZ"/>
        </w:rPr>
        <w:t>(7.5)</w:t>
      </w:r>
      <w:r w:rsidR="00D45500">
        <w:rPr>
          <w:rFonts w:eastAsia="Times New Roman" w:cs="Segoe UI"/>
          <w:lang w:eastAsia="en-NZ"/>
        </w:rPr>
        <w:t xml:space="preserve"> percent. </w:t>
      </w:r>
      <w:r>
        <w:rPr>
          <w:rFonts w:eastAsia="Times New Roman" w:cs="Segoe UI"/>
          <w:lang w:eastAsia="en-NZ"/>
        </w:rPr>
        <w:t xml:space="preserve">The </w:t>
      </w:r>
      <w:r w:rsidR="00C12E91">
        <w:rPr>
          <w:rFonts w:eastAsia="Times New Roman" w:cs="Segoe UI"/>
          <w:lang w:eastAsia="en-NZ"/>
        </w:rPr>
        <w:t>Council</w:t>
      </w:r>
      <w:r>
        <w:rPr>
          <w:rFonts w:eastAsia="Times New Roman" w:cs="Segoe UI"/>
          <w:lang w:eastAsia="en-NZ"/>
        </w:rPr>
        <w:t xml:space="preserve">’s decision </w:t>
      </w:r>
      <w:r w:rsidR="00402540">
        <w:rPr>
          <w:rFonts w:eastAsia="Times New Roman" w:cs="Segoe UI"/>
          <w:lang w:eastAsia="en-NZ"/>
        </w:rPr>
        <w:t>to increase its fees</w:t>
      </w:r>
      <w:r>
        <w:rPr>
          <w:rFonts w:eastAsia="Times New Roman" w:cs="Segoe UI"/>
          <w:lang w:eastAsia="en-NZ"/>
        </w:rPr>
        <w:t xml:space="preserve"> is based on several factors which include</w:t>
      </w:r>
      <w:r w:rsidR="00DA3B20">
        <w:rPr>
          <w:rFonts w:eastAsia="Times New Roman" w:cs="Segoe UI"/>
          <w:lang w:eastAsia="en-NZ"/>
        </w:rPr>
        <w:t xml:space="preserve"> consideration of the </w:t>
      </w:r>
      <w:r w:rsidR="0019205A">
        <w:rPr>
          <w:rFonts w:eastAsia="Times New Roman" w:cs="Segoe UI"/>
          <w:lang w:eastAsia="en-NZ"/>
        </w:rPr>
        <w:t xml:space="preserve">historic </w:t>
      </w:r>
      <w:r w:rsidR="00DC0C2D">
        <w:rPr>
          <w:rFonts w:eastAsia="Times New Roman" w:cs="Segoe UI"/>
          <w:lang w:eastAsia="en-NZ"/>
        </w:rPr>
        <w:t>advice it received from its accountant</w:t>
      </w:r>
      <w:r w:rsidR="0019205A">
        <w:rPr>
          <w:rFonts w:eastAsia="Times New Roman" w:cs="Segoe UI"/>
          <w:lang w:eastAsia="en-NZ"/>
        </w:rPr>
        <w:t xml:space="preserve">, </w:t>
      </w:r>
      <w:r w:rsidR="00DA3B20">
        <w:rPr>
          <w:rFonts w:eastAsia="Times New Roman" w:cs="Segoe UI"/>
          <w:lang w:eastAsia="en-NZ"/>
        </w:rPr>
        <w:t>feedback received</w:t>
      </w:r>
      <w:r w:rsidR="0019205A">
        <w:rPr>
          <w:rFonts w:eastAsia="Times New Roman" w:cs="Segoe UI"/>
          <w:lang w:eastAsia="en-NZ"/>
        </w:rPr>
        <w:t xml:space="preserve"> from the consultation</w:t>
      </w:r>
      <w:r w:rsidR="00DA3B20">
        <w:rPr>
          <w:rFonts w:eastAsia="Times New Roman" w:cs="Segoe UI"/>
          <w:lang w:eastAsia="en-NZ"/>
        </w:rPr>
        <w:t>,</w:t>
      </w:r>
      <w:r>
        <w:rPr>
          <w:rFonts w:eastAsia="Times New Roman" w:cs="Segoe UI"/>
          <w:lang w:eastAsia="en-NZ"/>
        </w:rPr>
        <w:t xml:space="preserve"> inflationary pressures and an increase in notifications regarding fitness to practise which must be paid for by the </w:t>
      </w:r>
      <w:r w:rsidR="00C12E91">
        <w:rPr>
          <w:rFonts w:eastAsia="Times New Roman" w:cs="Segoe UI"/>
          <w:lang w:eastAsia="en-NZ"/>
        </w:rPr>
        <w:t>Council</w:t>
      </w:r>
      <w:r>
        <w:rPr>
          <w:rFonts w:eastAsia="Times New Roman" w:cs="Segoe UI"/>
          <w:lang w:eastAsia="en-NZ"/>
        </w:rPr>
        <w:t>.</w:t>
      </w:r>
      <w:r w:rsidR="00C12E91">
        <w:rPr>
          <w:rFonts w:eastAsia="Times New Roman" w:cs="Segoe UI"/>
          <w:lang w:eastAsia="en-NZ"/>
        </w:rPr>
        <w:t xml:space="preserve"> The Council also decided not </w:t>
      </w:r>
      <w:r w:rsidR="006F2B45">
        <w:rPr>
          <w:rFonts w:eastAsia="Times New Roman" w:cs="Segoe UI"/>
          <w:lang w:eastAsia="en-NZ"/>
        </w:rPr>
        <w:t>to</w:t>
      </w:r>
      <w:r w:rsidR="00C12E91">
        <w:rPr>
          <w:rFonts w:eastAsia="Times New Roman" w:cs="Segoe UI"/>
          <w:lang w:eastAsia="en-NZ"/>
        </w:rPr>
        <w:t xml:space="preserve"> increase the examination fee</w:t>
      </w:r>
      <w:r w:rsidR="00B4310D">
        <w:rPr>
          <w:rFonts w:eastAsia="Times New Roman" w:cs="Segoe UI"/>
          <w:lang w:eastAsia="en-NZ"/>
        </w:rPr>
        <w:t>.</w:t>
      </w:r>
      <w:r w:rsidR="00C12E91">
        <w:rPr>
          <w:rFonts w:eastAsia="Times New Roman" w:cs="Segoe UI"/>
          <w:lang w:eastAsia="en-NZ"/>
        </w:rPr>
        <w:t xml:space="preserve"> </w:t>
      </w:r>
    </w:p>
    <w:p w14:paraId="633FD057" w14:textId="77777777" w:rsidR="003A367C" w:rsidRDefault="003A367C" w:rsidP="003A367C">
      <w:pPr>
        <w:spacing w:after="0" w:line="300" w:lineRule="atLeast"/>
        <w:rPr>
          <w:rFonts w:eastAsia="Times New Roman" w:cs="Segoe UI"/>
          <w:lang w:eastAsia="en-NZ"/>
        </w:rPr>
      </w:pPr>
    </w:p>
    <w:p w14:paraId="22289504" w14:textId="170109F8" w:rsidR="003A367C" w:rsidRDefault="003A367C" w:rsidP="003A367C">
      <w:pPr>
        <w:spacing w:after="0" w:line="300" w:lineRule="atLeast"/>
        <w:rPr>
          <w:rFonts w:eastAsia="Times New Roman" w:cs="Segoe UI"/>
          <w:lang w:eastAsia="en-NZ"/>
        </w:rPr>
      </w:pPr>
      <w:r>
        <w:rPr>
          <w:rFonts w:eastAsia="Times New Roman" w:cs="Segoe UI"/>
          <w:lang w:eastAsia="en-NZ"/>
        </w:rPr>
        <w:t xml:space="preserve">The main change is to increase the APC fee. This is used to pay for the cost of running the </w:t>
      </w:r>
      <w:r w:rsidR="00C12E91">
        <w:rPr>
          <w:rFonts w:eastAsia="Times New Roman" w:cs="Segoe UI"/>
          <w:lang w:eastAsia="en-NZ"/>
        </w:rPr>
        <w:t>Council</w:t>
      </w:r>
      <w:r>
        <w:rPr>
          <w:rFonts w:eastAsia="Times New Roman" w:cs="Segoe UI"/>
          <w:lang w:eastAsia="en-NZ"/>
        </w:rPr>
        <w:t xml:space="preserve"> and for it to meet all the requirements of </w:t>
      </w:r>
      <w:hyperlink r:id="rId11" w:history="1">
        <w:r w:rsidRPr="00CB3CC2">
          <w:rPr>
            <w:rStyle w:val="Hyperlink"/>
            <w:rFonts w:eastAsia="Times New Roman" w:cs="Segoe UI"/>
            <w:lang w:eastAsia="en-NZ"/>
          </w:rPr>
          <w:t>section 118 of the Act</w:t>
        </w:r>
      </w:hyperlink>
      <w:r>
        <w:rPr>
          <w:rFonts w:eastAsia="Times New Roman" w:cs="Segoe UI"/>
          <w:lang w:eastAsia="en-NZ"/>
        </w:rPr>
        <w:t xml:space="preserve">. The </w:t>
      </w:r>
      <w:r w:rsidR="00C12E91">
        <w:rPr>
          <w:rFonts w:eastAsia="Times New Roman" w:cs="Segoe UI"/>
          <w:lang w:eastAsia="en-NZ"/>
        </w:rPr>
        <w:t>Council</w:t>
      </w:r>
      <w:r>
        <w:rPr>
          <w:rFonts w:eastAsia="Times New Roman" w:cs="Segoe UI"/>
          <w:lang w:eastAsia="en-NZ"/>
        </w:rPr>
        <w:t xml:space="preserve"> has not increased the disciplinary levy as it does not expect there to be a significant increase in the matters referred to conduct at this time and the reserves it will hold for this function are sufficient to cover projected costs. Matters of discipline are managed in accordance with the Act and the </w:t>
      </w:r>
      <w:r w:rsidR="00C12E91">
        <w:rPr>
          <w:rFonts w:eastAsia="Times New Roman" w:cs="Segoe UI"/>
          <w:lang w:eastAsia="en-NZ"/>
        </w:rPr>
        <w:t xml:space="preserve">Council </w:t>
      </w:r>
      <w:r>
        <w:rPr>
          <w:rFonts w:eastAsia="Times New Roman" w:cs="Segoe UI"/>
          <w:lang w:eastAsia="en-NZ"/>
        </w:rPr>
        <w:t xml:space="preserve">must follow these processes. The disciplinary levy is used solely for the purposes of this function which is limited to matters referred to professional conduct committees and </w:t>
      </w:r>
      <w:r w:rsidR="00815EDA">
        <w:rPr>
          <w:rFonts w:eastAsia="Times New Roman" w:cs="Segoe UI"/>
          <w:lang w:eastAsia="en-NZ"/>
        </w:rPr>
        <w:t xml:space="preserve">if required </w:t>
      </w:r>
      <w:r>
        <w:rPr>
          <w:rFonts w:eastAsia="Times New Roman" w:cs="Segoe UI"/>
          <w:lang w:eastAsia="en-NZ"/>
        </w:rPr>
        <w:t>the Health Practitioner</w:t>
      </w:r>
      <w:r w:rsidR="00815EDA">
        <w:rPr>
          <w:rFonts w:eastAsia="Times New Roman" w:cs="Segoe UI"/>
          <w:lang w:eastAsia="en-NZ"/>
        </w:rPr>
        <w:t>s</w:t>
      </w:r>
      <w:r>
        <w:rPr>
          <w:rFonts w:eastAsia="Times New Roman" w:cs="Segoe UI"/>
          <w:lang w:eastAsia="en-NZ"/>
        </w:rPr>
        <w:t xml:space="preserve"> Disciplinary Tribunal. The </w:t>
      </w:r>
      <w:r w:rsidR="00C12E91">
        <w:rPr>
          <w:rFonts w:eastAsia="Times New Roman" w:cs="Segoe UI"/>
          <w:lang w:eastAsia="en-NZ"/>
        </w:rPr>
        <w:t>Council</w:t>
      </w:r>
      <w:r>
        <w:rPr>
          <w:rFonts w:eastAsia="Times New Roman" w:cs="Segoe UI"/>
          <w:lang w:eastAsia="en-NZ"/>
        </w:rPr>
        <w:t xml:space="preserve"> is only able to recoup costs associated with these processes if a finding is made in the Tribunal that requires a practitioner to repay costs. This means that the profession must pay for matters of discipline to be investigated and disciplinary action to be taken. </w:t>
      </w:r>
    </w:p>
    <w:p w14:paraId="4AD4B7B1" w14:textId="4AD20DBD" w:rsidR="000B2232" w:rsidRDefault="000B2232" w:rsidP="003A367C">
      <w:pPr>
        <w:spacing w:after="0" w:line="300" w:lineRule="atLeast"/>
        <w:rPr>
          <w:rFonts w:eastAsia="Times New Roman" w:cs="Segoe UI"/>
          <w:lang w:eastAsia="en-NZ"/>
        </w:rPr>
      </w:pPr>
      <w:r>
        <w:rPr>
          <w:rFonts w:eastAsia="Times New Roman" w:cs="Segoe UI"/>
          <w:lang w:eastAsia="en-NZ"/>
        </w:rPr>
        <w:t>The Council is mindful</w:t>
      </w:r>
      <w:r w:rsidR="00A60C1F">
        <w:rPr>
          <w:rFonts w:eastAsia="Times New Roman" w:cs="Segoe UI"/>
          <w:lang w:eastAsia="en-NZ"/>
        </w:rPr>
        <w:t xml:space="preserve"> of the</w:t>
      </w:r>
      <w:r w:rsidR="00182E77">
        <w:rPr>
          <w:rFonts w:eastAsia="Times New Roman" w:cs="Segoe UI"/>
          <w:lang w:eastAsia="en-NZ"/>
        </w:rPr>
        <w:t xml:space="preserve"> increase and will continue to monitor its expenditure</w:t>
      </w:r>
      <w:r w:rsidR="00B4310D">
        <w:rPr>
          <w:rFonts w:eastAsia="Times New Roman" w:cs="Segoe UI"/>
          <w:lang w:eastAsia="en-NZ"/>
        </w:rPr>
        <w:t>.</w:t>
      </w:r>
      <w:r w:rsidR="009A789A">
        <w:rPr>
          <w:rFonts w:eastAsia="Times New Roman" w:cs="Segoe UI"/>
          <w:lang w:eastAsia="en-NZ"/>
        </w:rPr>
        <w:t xml:space="preserve"> </w:t>
      </w:r>
    </w:p>
    <w:p w14:paraId="09E97427" w14:textId="77777777" w:rsidR="003A367C" w:rsidRDefault="003A367C" w:rsidP="003A367C">
      <w:pPr>
        <w:spacing w:after="0" w:line="300" w:lineRule="atLeast"/>
        <w:rPr>
          <w:rFonts w:eastAsia="Times New Roman" w:cs="Segoe UI"/>
          <w:lang w:eastAsia="en-NZ"/>
        </w:rPr>
      </w:pPr>
    </w:p>
    <w:p w14:paraId="5C19AA66" w14:textId="77777777" w:rsidR="003A367C" w:rsidRDefault="003A367C" w:rsidP="003A367C">
      <w:r>
        <w:t xml:space="preserve">A summary of the feedback is provided below, along with responses to several of the themes raised in the consultation. </w:t>
      </w:r>
    </w:p>
    <w:p w14:paraId="2FAD1468" w14:textId="77777777" w:rsidR="003A367C" w:rsidRDefault="003A367C" w:rsidP="00E655EF">
      <w:pPr>
        <w:spacing w:after="0" w:line="300" w:lineRule="atLeast"/>
        <w:rPr>
          <w:rFonts w:eastAsia="Times New Roman" w:cs="Segoe UI"/>
          <w:lang w:eastAsia="en-NZ"/>
        </w:rPr>
      </w:pPr>
    </w:p>
    <w:p w14:paraId="4502AD2C" w14:textId="77777777" w:rsidR="0023028E" w:rsidRDefault="00A52EB7" w:rsidP="004D6CF4">
      <w:pPr>
        <w:pStyle w:val="Heading2"/>
      </w:pPr>
      <w:r>
        <w:t xml:space="preserve">What does the Council </w:t>
      </w:r>
      <w:r w:rsidR="0023028E">
        <w:t>do?</w:t>
      </w:r>
    </w:p>
    <w:p w14:paraId="724FAC4B" w14:textId="429C8BE7" w:rsidR="00CB2155" w:rsidRDefault="00CB2155" w:rsidP="00CB2155">
      <w:r>
        <w:t xml:space="preserve">Many of the Consultation responses received by the Council indicated confusion about the role of the Council and what it does. </w:t>
      </w:r>
    </w:p>
    <w:p w14:paraId="7591BD91" w14:textId="339B291F" w:rsidR="00CB2155" w:rsidRDefault="00CB2155" w:rsidP="00CB2155">
      <w:r>
        <w:t xml:space="preserve">The </w:t>
      </w:r>
      <w:r w:rsidR="002F4B1F">
        <w:t>Council</w:t>
      </w:r>
      <w:r>
        <w:t xml:space="preserve"> is a responsible authority established by the Government under the Act to regulate the profession of Anaesthetic Technolog</w:t>
      </w:r>
      <w:r w:rsidR="007407F1">
        <w:t>y</w:t>
      </w:r>
      <w:r>
        <w:t xml:space="preserve">. The </w:t>
      </w:r>
      <w:r w:rsidR="007407F1">
        <w:t>Council’s</w:t>
      </w:r>
      <w:r>
        <w:t xml:space="preserve"> mandate is to protect the health and safety of the public by ensuring that</w:t>
      </w:r>
      <w:r w:rsidR="007407F1">
        <w:t xml:space="preserve"> anaesthetic technicians</w:t>
      </w:r>
      <w:r>
        <w:t xml:space="preserve"> are fit and competent to practise. The </w:t>
      </w:r>
      <w:r w:rsidR="007407F1">
        <w:t>Council</w:t>
      </w:r>
      <w:r>
        <w:t xml:space="preserve"> is required to perform the functions defined in section 118 of the Act which includes (among other things) setting the standards of competence required by practitioners, ensuring that education programmes are of a suitable standard, </w:t>
      </w:r>
      <w:r w:rsidR="0045422C">
        <w:t xml:space="preserve">issuing practising certificates, </w:t>
      </w:r>
      <w:r>
        <w:t xml:space="preserve">assessing and registering international practitioners and managing concerns and complaints. </w:t>
      </w:r>
    </w:p>
    <w:p w14:paraId="73225B7C" w14:textId="30FD1F30" w:rsidR="00CB2155" w:rsidRDefault="00CB2155" w:rsidP="00CB2155">
      <w:r>
        <w:t xml:space="preserve">The </w:t>
      </w:r>
      <w:r w:rsidR="007407F1">
        <w:t>Council</w:t>
      </w:r>
      <w:r>
        <w:t xml:space="preserve"> does not have a specific mandated role in advocating for the profession but is supportive of the professional association</w:t>
      </w:r>
      <w:r w:rsidR="007407F1">
        <w:t xml:space="preserve"> such as </w:t>
      </w:r>
      <w:r w:rsidR="00111049">
        <w:t>the New Zealand Anaesthetic Technician Society</w:t>
      </w:r>
      <w:r>
        <w:t xml:space="preserve"> that do</w:t>
      </w:r>
      <w:r w:rsidR="00111049">
        <w:t>es</w:t>
      </w:r>
      <w:r>
        <w:t xml:space="preserve"> perform this </w:t>
      </w:r>
      <w:r w:rsidR="00251DB9">
        <w:t>role and</w:t>
      </w:r>
      <w:r>
        <w:t xml:space="preserve"> engages with them regularly about issues relevant to the profession. </w:t>
      </w:r>
    </w:p>
    <w:p w14:paraId="081C8EF9" w14:textId="35201796" w:rsidR="00CB2155" w:rsidRDefault="00CB2155" w:rsidP="00CB2155">
      <w:r>
        <w:lastRenderedPageBreak/>
        <w:t>For many practitioners, their interaction with the</w:t>
      </w:r>
      <w:r w:rsidR="00E44520">
        <w:t xml:space="preserve"> Council</w:t>
      </w:r>
      <w:r>
        <w:t xml:space="preserve"> is limited to their initial registration, and annual practising certificate renewal. This is appropriate and the </w:t>
      </w:r>
      <w:r w:rsidR="00E44520">
        <w:t>Council</w:t>
      </w:r>
      <w:r>
        <w:t xml:space="preserve"> acknowledges those practitioners who continue to provide safe and effective care to patients. </w:t>
      </w:r>
    </w:p>
    <w:p w14:paraId="4AA5A1BA" w14:textId="47260537" w:rsidR="00CB2155" w:rsidRDefault="00CB2155" w:rsidP="00CB2155">
      <w:r>
        <w:t xml:space="preserve">From time-to-time practitioners may come to the attention of the </w:t>
      </w:r>
      <w:r w:rsidR="00E44520">
        <w:t>Council</w:t>
      </w:r>
      <w:r>
        <w:t xml:space="preserve">. The </w:t>
      </w:r>
      <w:r w:rsidR="00E44520">
        <w:t>Council</w:t>
      </w:r>
      <w:r>
        <w:t xml:space="preserve"> investigates where there has been a complaint made about a practitioner which may mean the practitioner is referred to a professional conduct committee or the Health Practitioners Disciplinary Tribunal. The costs of this may be considerable and are covered by the disciplinary levy changed to practitioners. </w:t>
      </w:r>
    </w:p>
    <w:p w14:paraId="4F3A2A0C" w14:textId="34A1E837" w:rsidR="00CB2155" w:rsidRDefault="00CB2155" w:rsidP="00CB2155">
      <w:r>
        <w:t xml:space="preserve">The </w:t>
      </w:r>
      <w:r w:rsidR="00E44520">
        <w:t>Council</w:t>
      </w:r>
      <w:r>
        <w:t xml:space="preserve"> also has a role in ensuring that practitioners who have a physical or mental health condition can perform the required functions of their </w:t>
      </w:r>
      <w:r w:rsidR="000B2232">
        <w:t>profession</w:t>
      </w:r>
      <w:r>
        <w:t xml:space="preserve">, and in managing practitioners who have competence concerns to ensure they are providing safe care. </w:t>
      </w:r>
    </w:p>
    <w:p w14:paraId="056BE129" w14:textId="4828712D" w:rsidR="00CB2155" w:rsidRDefault="00CB2155" w:rsidP="00CB2155">
      <w:r>
        <w:t xml:space="preserve">The </w:t>
      </w:r>
      <w:r w:rsidR="00036F86">
        <w:t>Council</w:t>
      </w:r>
      <w:r>
        <w:t xml:space="preserve"> seeks to engage with practitioners and raise awareness of its work by attending relevant conferences and ensuring practitioner representation on committees such as the expert advisory group for the recent Scope of Practice</w:t>
      </w:r>
      <w:r w:rsidR="009976A7">
        <w:t xml:space="preserve"> and </w:t>
      </w:r>
      <w:r w:rsidR="002E6AB7">
        <w:t>Competence standards review</w:t>
      </w:r>
      <w:r>
        <w:t xml:space="preserve">. </w:t>
      </w:r>
    </w:p>
    <w:p w14:paraId="16A98A5C" w14:textId="06D847B1" w:rsidR="00CB2155" w:rsidRDefault="00CB2155" w:rsidP="00CB2155">
      <w:r>
        <w:t xml:space="preserve">As a responsible authority, the </w:t>
      </w:r>
      <w:r w:rsidR="002E6AB7">
        <w:t>Council</w:t>
      </w:r>
      <w:r>
        <w:t xml:space="preserve"> receives no government funding and charges fees to cover the cost of these activities from the profession. The </w:t>
      </w:r>
      <w:r w:rsidR="002E6AB7">
        <w:t xml:space="preserve">Council </w:t>
      </w:r>
      <w:r>
        <w:t xml:space="preserve">reviews the fees it charges each year to ensure that it can continue to provide the required services, while being mindful of practitioner circumstances. </w:t>
      </w:r>
    </w:p>
    <w:p w14:paraId="107C0AD4" w14:textId="77777777" w:rsidR="0023028E" w:rsidRDefault="0023028E" w:rsidP="0023028E"/>
    <w:p w14:paraId="727C6BCC" w14:textId="12BA4F2C" w:rsidR="009642D6" w:rsidRDefault="004F5FC0" w:rsidP="004D6CF4">
      <w:pPr>
        <w:pStyle w:val="Heading2"/>
      </w:pPr>
      <w:r>
        <w:t>Consultation responses</w:t>
      </w:r>
    </w:p>
    <w:p w14:paraId="42D57DAD" w14:textId="0ADBF4AA" w:rsidR="009642D6" w:rsidRDefault="009642D6">
      <w:r>
        <w:t>Responses were received from 4</w:t>
      </w:r>
      <w:r w:rsidR="00C8628E">
        <w:t>1</w:t>
      </w:r>
      <w:r>
        <w:t xml:space="preserve"> individuals – all of whom are registered anaesthetic technicians. This represents a response rate of 3.8% of the total workforce.</w:t>
      </w:r>
    </w:p>
    <w:p w14:paraId="573F15C6" w14:textId="4D3945E7" w:rsidR="009642D6" w:rsidRDefault="009642D6" w:rsidP="009642D6">
      <w:pPr>
        <w:rPr>
          <w:b/>
          <w:bCs/>
        </w:rPr>
      </w:pPr>
      <w:r w:rsidRPr="009642D6">
        <w:rPr>
          <w:b/>
          <w:bCs/>
        </w:rPr>
        <w:t>The Council is proposing to increase most practitioner and applicant fees for the 2026/2027 practising year. After reading the consultation document, do you agree or disagree with this proposal?</w:t>
      </w:r>
    </w:p>
    <w:p w14:paraId="72246888" w14:textId="35FAF8EB" w:rsidR="00AC0380" w:rsidRPr="009642D6" w:rsidRDefault="007B72E4" w:rsidP="009642D6">
      <w:pPr>
        <w:rPr>
          <w:b/>
          <w:bCs/>
        </w:rPr>
      </w:pPr>
      <w:r>
        <w:rPr>
          <w:noProof/>
        </w:rPr>
        <w:drawing>
          <wp:inline distT="0" distB="0" distL="0" distR="0" wp14:anchorId="782C2636" wp14:editId="3C6BDB4C">
            <wp:extent cx="5854700" cy="2746375"/>
            <wp:effectExtent l="0" t="0" r="0" b="0"/>
            <wp:docPr id="1276869107" name="Chart 1">
              <a:extLst xmlns:a="http://schemas.openxmlformats.org/drawingml/2006/main">
                <a:ext uri="{FF2B5EF4-FFF2-40B4-BE49-F238E27FC236}">
                  <a16:creationId xmlns:a16="http://schemas.microsoft.com/office/drawing/2014/main" id="{B764FD10-D8B3-2C26-68EE-658DB9853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3A77F7" w14:textId="739AB7BC" w:rsidR="009642D6" w:rsidRDefault="009642D6">
      <w:pPr>
        <w:rPr>
          <w:b/>
          <w:bCs/>
        </w:rPr>
      </w:pPr>
    </w:p>
    <w:p w14:paraId="1C4B8A03" w14:textId="77699444" w:rsidR="00967E0C" w:rsidRPr="00133E3F" w:rsidRDefault="00DD0AD1">
      <w:r>
        <w:lastRenderedPageBreak/>
        <w:t xml:space="preserve">Thirty </w:t>
      </w:r>
      <w:r w:rsidR="0048269D">
        <w:t>two</w:t>
      </w:r>
      <w:r>
        <w:t xml:space="preserve"> percent (</w:t>
      </w:r>
      <w:r w:rsidR="00967E0C" w:rsidRPr="00133E3F">
        <w:t>32%</w:t>
      </w:r>
      <w:r>
        <w:t>)</w:t>
      </w:r>
      <w:r w:rsidR="00967E0C" w:rsidRPr="00133E3F">
        <w:t xml:space="preserve"> of the respondents agreed or were neutral about the </w:t>
      </w:r>
      <w:r w:rsidR="005932CD">
        <w:t xml:space="preserve">proposed </w:t>
      </w:r>
      <w:r w:rsidR="00967E0C" w:rsidRPr="00133E3F">
        <w:t xml:space="preserve">increase in fees. The remaining practitioners disagreed with the proposed fee increases. </w:t>
      </w:r>
      <w:r w:rsidR="00133E3F" w:rsidRPr="00133E3F">
        <w:t xml:space="preserve">Reasons for this generally fell into the themes below. </w:t>
      </w:r>
    </w:p>
    <w:tbl>
      <w:tblPr>
        <w:tblStyle w:val="TableGrid"/>
        <w:tblW w:w="0" w:type="auto"/>
        <w:tblLook w:val="04A0" w:firstRow="1" w:lastRow="0" w:firstColumn="1" w:lastColumn="0" w:noHBand="0" w:noVBand="1"/>
      </w:tblPr>
      <w:tblGrid>
        <w:gridCol w:w="2547"/>
        <w:gridCol w:w="6469"/>
      </w:tblGrid>
      <w:tr w:rsidR="00C23750" w14:paraId="72B1057A" w14:textId="77777777" w:rsidTr="00513DDF">
        <w:tc>
          <w:tcPr>
            <w:tcW w:w="2547" w:type="dxa"/>
          </w:tcPr>
          <w:p w14:paraId="388572B9" w14:textId="353A8C9B" w:rsidR="00C23750" w:rsidRPr="0051705A" w:rsidRDefault="00C23750">
            <w:pPr>
              <w:rPr>
                <w:b/>
                <w:bCs/>
              </w:rPr>
            </w:pPr>
            <w:r w:rsidRPr="0051705A">
              <w:rPr>
                <w:b/>
                <w:bCs/>
              </w:rPr>
              <w:t>Expense</w:t>
            </w:r>
          </w:p>
        </w:tc>
        <w:tc>
          <w:tcPr>
            <w:tcW w:w="6469" w:type="dxa"/>
          </w:tcPr>
          <w:p w14:paraId="61F78757" w14:textId="29AF3023" w:rsidR="00C23750" w:rsidRPr="00133E3F" w:rsidRDefault="00C23750">
            <w:pPr>
              <w:rPr>
                <w:i/>
                <w:iCs/>
              </w:rPr>
            </w:pPr>
            <w:r w:rsidRPr="00133E3F">
              <w:rPr>
                <w:i/>
                <w:iCs/>
              </w:rPr>
              <w:t>Reference made to current fee being too expensive</w:t>
            </w:r>
            <w:r w:rsidR="00373A0F">
              <w:rPr>
                <w:i/>
                <w:iCs/>
              </w:rPr>
              <w:t xml:space="preserve"> compared to other professions</w:t>
            </w:r>
            <w:r w:rsidRPr="00133E3F">
              <w:rPr>
                <w:i/>
                <w:iCs/>
              </w:rPr>
              <w:t xml:space="preserve"> and the recent fee increases. </w:t>
            </w:r>
          </w:p>
          <w:p w14:paraId="1CF66359" w14:textId="77777777" w:rsidR="00922D90" w:rsidRDefault="00922D90"/>
          <w:p w14:paraId="3522584D" w14:textId="3ADF69DC" w:rsidR="00922D90" w:rsidRDefault="00663E95">
            <w:r>
              <w:t xml:space="preserve">The fees for the profession are </w:t>
            </w:r>
            <w:r w:rsidR="002E4849">
              <w:t xml:space="preserve">on the lower end when </w:t>
            </w:r>
            <w:r w:rsidR="00AE0BAC">
              <w:t>compared to other</w:t>
            </w:r>
            <w:r w:rsidR="002E4849">
              <w:t xml:space="preserve"> similar sized</w:t>
            </w:r>
            <w:r w:rsidR="00513DDF">
              <w:t xml:space="preserve"> regulated</w:t>
            </w:r>
            <w:r w:rsidR="002E4849">
              <w:t xml:space="preserve"> professions</w:t>
            </w:r>
            <w:r w:rsidR="00AE0BAC">
              <w:t xml:space="preserve"> such</w:t>
            </w:r>
            <w:r w:rsidR="00CE4341">
              <w:t xml:space="preserve"> as </w:t>
            </w:r>
            <w:r w:rsidR="00E26C80">
              <w:t>dieti</w:t>
            </w:r>
            <w:r w:rsidR="008B003A">
              <w:t>t</w:t>
            </w:r>
            <w:r w:rsidR="00E26C80">
              <w:t>ians (</w:t>
            </w:r>
            <w:r w:rsidR="00677EFB">
              <w:t>APC $770) or</w:t>
            </w:r>
            <w:r w:rsidR="006C5917">
              <w:t xml:space="preserve"> optometrists</w:t>
            </w:r>
            <w:r w:rsidR="00FC2CAD">
              <w:t xml:space="preserve"> (APC $1222 </w:t>
            </w:r>
            <w:r w:rsidR="00CE4341">
              <w:t>including disciplinary levy)</w:t>
            </w:r>
            <w:r w:rsidR="0017702D">
              <w:t xml:space="preserve"> in New Zealand. </w:t>
            </w:r>
          </w:p>
          <w:p w14:paraId="60377D7F" w14:textId="77777777" w:rsidR="00513DDF" w:rsidRDefault="00513DDF"/>
          <w:p w14:paraId="032BB928" w14:textId="3B4388EA" w:rsidR="00A419E4" w:rsidRDefault="00265399" w:rsidP="00A419E4">
            <w:r>
              <w:t>In line with</w:t>
            </w:r>
            <w:r w:rsidR="00BA4703">
              <w:t xml:space="preserve"> financial</w:t>
            </w:r>
            <w:r>
              <w:t xml:space="preserve"> advice received,</w:t>
            </w:r>
            <w:r w:rsidR="008314FA">
              <w:t xml:space="preserve"> </w:t>
            </w:r>
            <w:r>
              <w:t>t</w:t>
            </w:r>
            <w:r w:rsidR="00A419E4">
              <w:t>he Council has adopted a practice of incremental increases as required to prevent the shock of larger, more infrequent raises and to ensure the ongoing viability of Council functions as required under the HPCA Act. While this may have the effect of fees rising frequently, the Council aims to keep the size of the increases as low as possible.</w:t>
            </w:r>
          </w:p>
          <w:p w14:paraId="728EFDF1" w14:textId="36769087" w:rsidR="000E25B5" w:rsidRDefault="000E25B5"/>
        </w:tc>
      </w:tr>
      <w:tr w:rsidR="00C23750" w14:paraId="74C87EA9" w14:textId="77777777" w:rsidTr="00513DDF">
        <w:tc>
          <w:tcPr>
            <w:tcW w:w="2547" w:type="dxa"/>
          </w:tcPr>
          <w:p w14:paraId="37D3B56D" w14:textId="6C403D4A" w:rsidR="00C23750" w:rsidRPr="0051705A" w:rsidRDefault="00C23750">
            <w:pPr>
              <w:rPr>
                <w:b/>
                <w:bCs/>
              </w:rPr>
            </w:pPr>
            <w:r w:rsidRPr="0051705A">
              <w:rPr>
                <w:b/>
                <w:bCs/>
              </w:rPr>
              <w:t>Cost of living</w:t>
            </w:r>
          </w:p>
        </w:tc>
        <w:tc>
          <w:tcPr>
            <w:tcW w:w="6469" w:type="dxa"/>
          </w:tcPr>
          <w:p w14:paraId="06F3A07F" w14:textId="03761C4A" w:rsidR="00C23750" w:rsidRDefault="00C23750">
            <w:pPr>
              <w:rPr>
                <w:i/>
                <w:iCs/>
              </w:rPr>
            </w:pPr>
            <w:r w:rsidRPr="00E16550">
              <w:rPr>
                <w:i/>
                <w:iCs/>
              </w:rPr>
              <w:t>Reference made to the </w:t>
            </w:r>
            <w:r w:rsidR="00BA43A5" w:rsidRPr="00E16550">
              <w:rPr>
                <w:i/>
                <w:iCs/>
              </w:rPr>
              <w:t>cost-of-living</w:t>
            </w:r>
            <w:r w:rsidRPr="00E16550">
              <w:rPr>
                <w:i/>
                <w:iCs/>
              </w:rPr>
              <w:t> crisis and the impact of increasing costs on the individual.</w:t>
            </w:r>
          </w:p>
          <w:p w14:paraId="3984E150" w14:textId="77777777" w:rsidR="00E16550" w:rsidRDefault="00E16550"/>
          <w:p w14:paraId="4FE3E4AC" w14:textId="65BCA672" w:rsidR="005B0C0D" w:rsidRPr="00E16550" w:rsidRDefault="00146874" w:rsidP="005B0C0D">
            <w:r>
              <w:t xml:space="preserve">The Council is mindful of the </w:t>
            </w:r>
            <w:r w:rsidR="00BA43A5">
              <w:t>cost-of-living</w:t>
            </w:r>
            <w:r>
              <w:t xml:space="preserve"> pressures experienced by practitioners. </w:t>
            </w:r>
            <w:r w:rsidR="00916FA2">
              <w:t>Like most other entities in Aotearoa New Zealand, t</w:t>
            </w:r>
            <w:r w:rsidR="007912D9">
              <w:t xml:space="preserve">he Council is also subject to </w:t>
            </w:r>
            <w:r w:rsidR="00D75844">
              <w:t>inflationary</w:t>
            </w:r>
            <w:r w:rsidR="007912D9">
              <w:t xml:space="preserve"> increases</w:t>
            </w:r>
            <w:r w:rsidR="005B0C0D">
              <w:t xml:space="preserve"> to many of its unavoidable expenses such as electricity and </w:t>
            </w:r>
            <w:r w:rsidR="009557FE">
              <w:t>rent</w:t>
            </w:r>
            <w:r w:rsidR="005B0C0D">
              <w:t>.</w:t>
            </w:r>
          </w:p>
        </w:tc>
      </w:tr>
      <w:tr w:rsidR="00C23750" w14:paraId="227A8594" w14:textId="77777777" w:rsidTr="00513DDF">
        <w:tc>
          <w:tcPr>
            <w:tcW w:w="2547" w:type="dxa"/>
          </w:tcPr>
          <w:p w14:paraId="0C2C0E23" w14:textId="47B655DB" w:rsidR="00C23750" w:rsidRPr="0051705A" w:rsidRDefault="00C23750">
            <w:pPr>
              <w:rPr>
                <w:b/>
                <w:bCs/>
              </w:rPr>
            </w:pPr>
            <w:r w:rsidRPr="0051705A">
              <w:rPr>
                <w:b/>
                <w:bCs/>
              </w:rPr>
              <w:t>Service</w:t>
            </w:r>
          </w:p>
        </w:tc>
        <w:tc>
          <w:tcPr>
            <w:tcW w:w="6469" w:type="dxa"/>
          </w:tcPr>
          <w:p w14:paraId="2B47E663" w14:textId="77777777" w:rsidR="00C23750" w:rsidRDefault="00C23750">
            <w:pPr>
              <w:rPr>
                <w:i/>
                <w:iCs/>
              </w:rPr>
            </w:pPr>
            <w:r w:rsidRPr="00E16550">
              <w:rPr>
                <w:i/>
                <w:iCs/>
              </w:rPr>
              <w:t>Reference made to the level of service they receive for their fees.</w:t>
            </w:r>
          </w:p>
          <w:p w14:paraId="005C9B8D" w14:textId="77777777" w:rsidR="00146874" w:rsidRDefault="00146874">
            <w:pPr>
              <w:rPr>
                <w:i/>
                <w:iCs/>
              </w:rPr>
            </w:pPr>
          </w:p>
          <w:p w14:paraId="34508E8E" w14:textId="532DF8DE" w:rsidR="00ED1E34" w:rsidRDefault="00ED1E34" w:rsidP="00ED1E34">
            <w:r>
              <w:t xml:space="preserve">The </w:t>
            </w:r>
            <w:r w:rsidR="002931F8">
              <w:t>Council</w:t>
            </w:r>
            <w:r>
              <w:t xml:space="preserve"> is engaged in continuous quality improvement of the services it provides and is considering feedback received about service levels as a part of this</w:t>
            </w:r>
            <w:r w:rsidR="002931F8">
              <w:t xml:space="preserve"> process</w:t>
            </w:r>
            <w:r>
              <w:t xml:space="preserve">. </w:t>
            </w:r>
          </w:p>
          <w:p w14:paraId="1179BF4C" w14:textId="77777777" w:rsidR="00ED1E34" w:rsidRDefault="00ED1E34" w:rsidP="00ED1E34"/>
          <w:p w14:paraId="06AC74B2" w14:textId="443BE4B1" w:rsidR="00ED1E34" w:rsidRDefault="00ED1E34" w:rsidP="00ED1E34">
            <w:r>
              <w:t xml:space="preserve">Some responses indicated confusion about the role of the </w:t>
            </w:r>
            <w:r w:rsidR="002931F8">
              <w:t>Council</w:t>
            </w:r>
            <w:r>
              <w:t xml:space="preserve"> and likened </w:t>
            </w:r>
            <w:r w:rsidR="00513DDF">
              <w:t xml:space="preserve">it </w:t>
            </w:r>
            <w:r>
              <w:t xml:space="preserve">to a professional membership association for practitioners. The </w:t>
            </w:r>
            <w:r w:rsidR="00513DDF">
              <w:t>Council</w:t>
            </w:r>
            <w:r>
              <w:t xml:space="preserve"> is a regulatory authority established under legislation and has the mandate to protect the health and safety of the public by ensuring that practitioners are competent and fit to practice. As with all other regulated health professions in</w:t>
            </w:r>
            <w:r w:rsidR="00D24B05">
              <w:t xml:space="preserve"> Aotearoa</w:t>
            </w:r>
            <w:r>
              <w:t xml:space="preserve"> New Zealand the costs of performing these functions</w:t>
            </w:r>
            <w:r w:rsidR="00513DDF">
              <w:t xml:space="preserve"> do</w:t>
            </w:r>
            <w:r>
              <w:t xml:space="preserve"> fall</w:t>
            </w:r>
            <w:r w:rsidR="00513DDF">
              <w:t xml:space="preserve"> predominantly</w:t>
            </w:r>
            <w:r>
              <w:t xml:space="preserve"> on practitioners. </w:t>
            </w:r>
          </w:p>
          <w:p w14:paraId="11270F16" w14:textId="3487A214" w:rsidR="002C11D8" w:rsidRPr="002C11D8" w:rsidRDefault="002C11D8"/>
        </w:tc>
      </w:tr>
      <w:tr w:rsidR="00C23750" w14:paraId="6DEB1BA6" w14:textId="77777777" w:rsidTr="00513DDF">
        <w:tc>
          <w:tcPr>
            <w:tcW w:w="2547" w:type="dxa"/>
          </w:tcPr>
          <w:p w14:paraId="51633649" w14:textId="5DEB7A85" w:rsidR="00C23750" w:rsidRPr="0051705A" w:rsidRDefault="00C23750">
            <w:pPr>
              <w:rPr>
                <w:b/>
                <w:bCs/>
              </w:rPr>
            </w:pPr>
            <w:r w:rsidRPr="0051705A">
              <w:rPr>
                <w:b/>
                <w:bCs/>
              </w:rPr>
              <w:t>Funding</w:t>
            </w:r>
          </w:p>
        </w:tc>
        <w:tc>
          <w:tcPr>
            <w:tcW w:w="6469" w:type="dxa"/>
          </w:tcPr>
          <w:p w14:paraId="746B4C98" w14:textId="77777777" w:rsidR="00C23750" w:rsidRDefault="00C23750">
            <w:pPr>
              <w:rPr>
                <w:i/>
                <w:iCs/>
              </w:rPr>
            </w:pPr>
            <w:r w:rsidRPr="00E16550">
              <w:rPr>
                <w:i/>
                <w:iCs/>
              </w:rPr>
              <w:t>Reference made to the lack of government funding, pay freezes and no bulk funding option.</w:t>
            </w:r>
          </w:p>
          <w:p w14:paraId="1B17CB5D" w14:textId="77777777" w:rsidR="008F37C7" w:rsidRDefault="008F37C7"/>
          <w:p w14:paraId="5AC88CDB" w14:textId="17578140" w:rsidR="008F37C7" w:rsidRDefault="007653AA">
            <w:r>
              <w:t>Although the option for bulk funding of fees is not available for the 2026</w:t>
            </w:r>
            <w:r w:rsidR="00FE76CA">
              <w:t>-</w:t>
            </w:r>
            <w:r>
              <w:t xml:space="preserve">2027 renewal period, the Council is looking into ways </w:t>
            </w:r>
            <w:r w:rsidR="005F409E">
              <w:t xml:space="preserve">that this could possibly be provided in the future. </w:t>
            </w:r>
          </w:p>
          <w:p w14:paraId="66267F36" w14:textId="6067183A" w:rsidR="008F37C7" w:rsidRPr="008F37C7" w:rsidRDefault="00BF6DDA">
            <w:r>
              <w:t xml:space="preserve">The Council does not receive any funding from the Government </w:t>
            </w:r>
            <w:r w:rsidR="00FE76CA">
              <w:t xml:space="preserve">and </w:t>
            </w:r>
            <w:r>
              <w:t>is reliant on the payment of fees to</w:t>
            </w:r>
            <w:r w:rsidR="00D32D05">
              <w:t xml:space="preserve"> funds its operations.</w:t>
            </w:r>
          </w:p>
        </w:tc>
      </w:tr>
      <w:tr w:rsidR="002A1EE2" w14:paraId="7D862570" w14:textId="77777777" w:rsidTr="00513DDF">
        <w:tc>
          <w:tcPr>
            <w:tcW w:w="2547" w:type="dxa"/>
          </w:tcPr>
          <w:p w14:paraId="0C7B8C4C" w14:textId="64030221" w:rsidR="002A1EE2" w:rsidRPr="0051705A" w:rsidRDefault="002A1EE2" w:rsidP="002A1EE2">
            <w:pPr>
              <w:rPr>
                <w:b/>
                <w:bCs/>
              </w:rPr>
            </w:pPr>
            <w:r w:rsidRPr="0051705A">
              <w:rPr>
                <w:b/>
                <w:bCs/>
              </w:rPr>
              <w:t>Reduce costs</w:t>
            </w:r>
          </w:p>
        </w:tc>
        <w:tc>
          <w:tcPr>
            <w:tcW w:w="6469" w:type="dxa"/>
          </w:tcPr>
          <w:p w14:paraId="0183F950" w14:textId="2FB0B262" w:rsidR="002A1EE2" w:rsidRDefault="002A1EE2" w:rsidP="002A1EE2">
            <w:pPr>
              <w:rPr>
                <w:i/>
                <w:iCs/>
              </w:rPr>
            </w:pPr>
            <w:r w:rsidRPr="00A52671">
              <w:rPr>
                <w:i/>
                <w:iCs/>
              </w:rPr>
              <w:t>Suggestion for the</w:t>
            </w:r>
            <w:r>
              <w:rPr>
                <w:i/>
                <w:iCs/>
              </w:rPr>
              <w:t xml:space="preserve"> Council </w:t>
            </w:r>
            <w:r w:rsidRPr="00A52671">
              <w:rPr>
                <w:i/>
                <w:iCs/>
              </w:rPr>
              <w:t>to review their expenses and find other ways to save money</w:t>
            </w:r>
          </w:p>
          <w:p w14:paraId="3F00356C" w14:textId="77777777" w:rsidR="002A1EE2" w:rsidRDefault="002A1EE2" w:rsidP="002A1EE2"/>
          <w:p w14:paraId="644A1599" w14:textId="67904F9C" w:rsidR="003713A8" w:rsidRDefault="003713A8" w:rsidP="002A1EE2">
            <w:r>
              <w:t xml:space="preserve">The Council reviews its budget each year and is undertaking an additional review </w:t>
            </w:r>
            <w:r w:rsidR="005306FC">
              <w:t xml:space="preserve">in early 2026 to determine any other areas where expenses may be reduced. </w:t>
            </w:r>
            <w:r w:rsidR="00BE4079" w:rsidRPr="005E73C6">
              <w:t xml:space="preserve">Under the Act, the </w:t>
            </w:r>
            <w:r w:rsidR="00BE4079">
              <w:t xml:space="preserve">Council </w:t>
            </w:r>
            <w:r w:rsidR="00BE4079" w:rsidRPr="005E73C6">
              <w:t>must carry out its required functions</w:t>
            </w:r>
            <w:r w:rsidR="00BE4079">
              <w:t xml:space="preserve"> with the Council largely managing its costs</w:t>
            </w:r>
            <w:r w:rsidR="00BE4079" w:rsidRPr="005E73C6">
              <w:t xml:space="preserve"> </w:t>
            </w:r>
            <w:r w:rsidR="00BE4079">
              <w:t xml:space="preserve">by </w:t>
            </w:r>
            <w:r w:rsidR="00BE4079" w:rsidRPr="005E73C6">
              <w:t xml:space="preserve">deferring </w:t>
            </w:r>
            <w:r w:rsidR="00BE4079">
              <w:t>or slowing down its strategic projects.</w:t>
            </w:r>
          </w:p>
          <w:p w14:paraId="70E69390" w14:textId="77777777" w:rsidR="005306FC" w:rsidRDefault="005306FC" w:rsidP="002A1EE2"/>
          <w:p w14:paraId="060E5565" w14:textId="7B0F8CF0" w:rsidR="002A1EE2" w:rsidRDefault="002A1EE2" w:rsidP="002A1EE2">
            <w:r>
              <w:t xml:space="preserve">As mentioned in the consultation, the Council already shares </w:t>
            </w:r>
            <w:r w:rsidR="00672558">
              <w:t>administrative and regulatory staff</w:t>
            </w:r>
            <w:r>
              <w:t xml:space="preserve"> with the Medical Radiation Technologists Board to help minimise costs and leverage off shared regulatory activities. This includes activities such as sharing the costs of recently upgraded IT systems to better support the Council’s regulatory functions. </w:t>
            </w:r>
          </w:p>
          <w:p w14:paraId="6EEEA482" w14:textId="77777777" w:rsidR="002A1EE2" w:rsidRDefault="002A1EE2" w:rsidP="002A1EE2"/>
          <w:p w14:paraId="1AD23E1C" w14:textId="4AD529B8" w:rsidR="00A11ED1" w:rsidRDefault="002A1EE2" w:rsidP="00A11ED1">
            <w:r>
              <w:t>The</w:t>
            </w:r>
            <w:r w:rsidR="00E16550">
              <w:t xml:space="preserve"> Council</w:t>
            </w:r>
            <w:r>
              <w:t xml:space="preserve"> is subject to an annual audit by external auditors and </w:t>
            </w:r>
            <w:r w:rsidR="00883605">
              <w:t xml:space="preserve">the </w:t>
            </w:r>
            <w:r w:rsidR="00E16550">
              <w:t>Council</w:t>
            </w:r>
            <w:r>
              <w:t xml:space="preserve"> financial accounts are publicly available on both the charities </w:t>
            </w:r>
            <w:r w:rsidR="008314FA">
              <w:t xml:space="preserve">services </w:t>
            </w:r>
            <w:r>
              <w:t xml:space="preserve">website and in the </w:t>
            </w:r>
            <w:r w:rsidR="00E16550">
              <w:t>Council’</w:t>
            </w:r>
            <w:r>
              <w:t>s annual report.</w:t>
            </w:r>
            <w:r w:rsidR="00A11ED1">
              <w:t xml:space="preserve"> </w:t>
            </w:r>
            <w:r w:rsidR="00A11ED1" w:rsidRPr="005C7942">
              <w:t>The 2024-</w:t>
            </w:r>
            <w:r w:rsidR="00A11ED1">
              <w:rPr>
                <w:rStyle w:val="normaltextrun"/>
                <w:rFonts w:ascii="Aptos" w:hAnsi="Aptos"/>
                <w:color w:val="000000"/>
                <w:shd w:val="clear" w:color="auto" w:fill="FFFFFF"/>
              </w:rPr>
              <w:t>2025 financial results are with the Auditors and will be published </w:t>
            </w:r>
            <w:r w:rsidR="00A11ED1" w:rsidRPr="00E92D73">
              <w:t>as soon as possible. </w:t>
            </w:r>
          </w:p>
          <w:p w14:paraId="2D79E0D7" w14:textId="77777777" w:rsidR="000D1439" w:rsidRDefault="000D1439" w:rsidP="002A1EE2"/>
          <w:p w14:paraId="7AC1F2A2" w14:textId="4B1F7679" w:rsidR="000D1439" w:rsidRDefault="000D1439" w:rsidP="002A1EE2">
            <w:r>
              <w:t>The Council must also undertake a five yearly performance review from the Ministry of Health. This work is currently underway and the costs of this must be paid for from fees the Council collects.</w:t>
            </w:r>
          </w:p>
        </w:tc>
      </w:tr>
    </w:tbl>
    <w:p w14:paraId="443C21BF" w14:textId="77777777" w:rsidR="006502C9" w:rsidRPr="006502C9" w:rsidRDefault="006502C9" w:rsidP="00F33695">
      <w:pPr>
        <w:rPr>
          <w:b/>
          <w:bCs/>
        </w:rPr>
      </w:pPr>
    </w:p>
    <w:sectPr w:rsidR="006502C9" w:rsidRPr="00650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173E7"/>
    <w:multiLevelType w:val="hybridMultilevel"/>
    <w:tmpl w:val="83E2E7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E4955A5"/>
    <w:multiLevelType w:val="hybridMultilevel"/>
    <w:tmpl w:val="D56C1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0847306"/>
    <w:multiLevelType w:val="hybridMultilevel"/>
    <w:tmpl w:val="0534E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79750215">
    <w:abstractNumId w:val="2"/>
  </w:num>
  <w:num w:numId="2" w16cid:durableId="19168231">
    <w:abstractNumId w:val="0"/>
  </w:num>
  <w:num w:numId="3" w16cid:durableId="919602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D6"/>
    <w:rsid w:val="00022567"/>
    <w:rsid w:val="00034C56"/>
    <w:rsid w:val="00036F86"/>
    <w:rsid w:val="00066FD4"/>
    <w:rsid w:val="0007168B"/>
    <w:rsid w:val="00087222"/>
    <w:rsid w:val="000A2C5F"/>
    <w:rsid w:val="000B2232"/>
    <w:rsid w:val="000D1439"/>
    <w:rsid w:val="000E25B5"/>
    <w:rsid w:val="00111049"/>
    <w:rsid w:val="00133E3F"/>
    <w:rsid w:val="00142F3A"/>
    <w:rsid w:val="00146874"/>
    <w:rsid w:val="00155035"/>
    <w:rsid w:val="00172CF0"/>
    <w:rsid w:val="0017373E"/>
    <w:rsid w:val="0017702D"/>
    <w:rsid w:val="001828FF"/>
    <w:rsid w:val="00182E77"/>
    <w:rsid w:val="0019205A"/>
    <w:rsid w:val="00192C45"/>
    <w:rsid w:val="001A2F9F"/>
    <w:rsid w:val="001B6BB7"/>
    <w:rsid w:val="001C07BE"/>
    <w:rsid w:val="001D6AA1"/>
    <w:rsid w:val="001E2E21"/>
    <w:rsid w:val="001E6854"/>
    <w:rsid w:val="001F1C4C"/>
    <w:rsid w:val="0023028E"/>
    <w:rsid w:val="00251DB9"/>
    <w:rsid w:val="002566C8"/>
    <w:rsid w:val="00262265"/>
    <w:rsid w:val="00265399"/>
    <w:rsid w:val="002931F8"/>
    <w:rsid w:val="002A1EE2"/>
    <w:rsid w:val="002B3A16"/>
    <w:rsid w:val="002B7B63"/>
    <w:rsid w:val="002C11D8"/>
    <w:rsid w:val="002D0700"/>
    <w:rsid w:val="002E4849"/>
    <w:rsid w:val="002E6AB7"/>
    <w:rsid w:val="002F4B1F"/>
    <w:rsid w:val="0030691B"/>
    <w:rsid w:val="00313F06"/>
    <w:rsid w:val="00323F68"/>
    <w:rsid w:val="00326221"/>
    <w:rsid w:val="003269F8"/>
    <w:rsid w:val="00330AAF"/>
    <w:rsid w:val="0034165D"/>
    <w:rsid w:val="00355E3F"/>
    <w:rsid w:val="003713A8"/>
    <w:rsid w:val="00373A0F"/>
    <w:rsid w:val="00390A74"/>
    <w:rsid w:val="003A367C"/>
    <w:rsid w:val="003C222D"/>
    <w:rsid w:val="003C306B"/>
    <w:rsid w:val="003D0FDE"/>
    <w:rsid w:val="003F70F7"/>
    <w:rsid w:val="00402540"/>
    <w:rsid w:val="00402C12"/>
    <w:rsid w:val="004237DA"/>
    <w:rsid w:val="0042560D"/>
    <w:rsid w:val="004314E8"/>
    <w:rsid w:val="00432B43"/>
    <w:rsid w:val="0045422C"/>
    <w:rsid w:val="004559AD"/>
    <w:rsid w:val="00461FEF"/>
    <w:rsid w:val="00464690"/>
    <w:rsid w:val="004732C1"/>
    <w:rsid w:val="0048269D"/>
    <w:rsid w:val="004A2FFC"/>
    <w:rsid w:val="004A721C"/>
    <w:rsid w:val="004C14CB"/>
    <w:rsid w:val="004D6CF4"/>
    <w:rsid w:val="004D7280"/>
    <w:rsid w:val="004F5FC0"/>
    <w:rsid w:val="0050326A"/>
    <w:rsid w:val="00513DDF"/>
    <w:rsid w:val="00515235"/>
    <w:rsid w:val="0051705A"/>
    <w:rsid w:val="005306FC"/>
    <w:rsid w:val="0053566A"/>
    <w:rsid w:val="00556BD4"/>
    <w:rsid w:val="00564F16"/>
    <w:rsid w:val="00570AF9"/>
    <w:rsid w:val="005932CD"/>
    <w:rsid w:val="005B0C0D"/>
    <w:rsid w:val="005B17E3"/>
    <w:rsid w:val="005C0880"/>
    <w:rsid w:val="005D244F"/>
    <w:rsid w:val="005D4E1F"/>
    <w:rsid w:val="005F409E"/>
    <w:rsid w:val="00600116"/>
    <w:rsid w:val="00646898"/>
    <w:rsid w:val="006502C9"/>
    <w:rsid w:val="00660BAE"/>
    <w:rsid w:val="00663E95"/>
    <w:rsid w:val="00666D74"/>
    <w:rsid w:val="00672558"/>
    <w:rsid w:val="00676741"/>
    <w:rsid w:val="00676CFE"/>
    <w:rsid w:val="00677EFB"/>
    <w:rsid w:val="006B10E9"/>
    <w:rsid w:val="006B1957"/>
    <w:rsid w:val="006C5917"/>
    <w:rsid w:val="006C5CAF"/>
    <w:rsid w:val="006C61DF"/>
    <w:rsid w:val="006D3417"/>
    <w:rsid w:val="006D4A15"/>
    <w:rsid w:val="006D4FDA"/>
    <w:rsid w:val="006D5B54"/>
    <w:rsid w:val="006F2B45"/>
    <w:rsid w:val="00703ADB"/>
    <w:rsid w:val="00710E9D"/>
    <w:rsid w:val="007118B2"/>
    <w:rsid w:val="00712B1F"/>
    <w:rsid w:val="00735C1B"/>
    <w:rsid w:val="007407F1"/>
    <w:rsid w:val="007424DB"/>
    <w:rsid w:val="007653AA"/>
    <w:rsid w:val="00770303"/>
    <w:rsid w:val="00772609"/>
    <w:rsid w:val="007912D9"/>
    <w:rsid w:val="007B72E4"/>
    <w:rsid w:val="007C1AB8"/>
    <w:rsid w:val="007D2EDA"/>
    <w:rsid w:val="007E2BAA"/>
    <w:rsid w:val="008059D9"/>
    <w:rsid w:val="00811E58"/>
    <w:rsid w:val="00815EDA"/>
    <w:rsid w:val="008314FA"/>
    <w:rsid w:val="00835495"/>
    <w:rsid w:val="00836803"/>
    <w:rsid w:val="00842E51"/>
    <w:rsid w:val="00845661"/>
    <w:rsid w:val="00860541"/>
    <w:rsid w:val="0086557C"/>
    <w:rsid w:val="00870514"/>
    <w:rsid w:val="008714B9"/>
    <w:rsid w:val="008746A9"/>
    <w:rsid w:val="0087639A"/>
    <w:rsid w:val="00883605"/>
    <w:rsid w:val="00894D20"/>
    <w:rsid w:val="00895D3D"/>
    <w:rsid w:val="008B003A"/>
    <w:rsid w:val="008C3C30"/>
    <w:rsid w:val="008C6726"/>
    <w:rsid w:val="008F37C7"/>
    <w:rsid w:val="008F4CDE"/>
    <w:rsid w:val="008F74C9"/>
    <w:rsid w:val="00905C91"/>
    <w:rsid w:val="00916FA2"/>
    <w:rsid w:val="00922D90"/>
    <w:rsid w:val="00924543"/>
    <w:rsid w:val="009557FE"/>
    <w:rsid w:val="009642D6"/>
    <w:rsid w:val="00967E0C"/>
    <w:rsid w:val="009976A7"/>
    <w:rsid w:val="009A789A"/>
    <w:rsid w:val="009D0489"/>
    <w:rsid w:val="009D26C6"/>
    <w:rsid w:val="00A047DA"/>
    <w:rsid w:val="00A11ED1"/>
    <w:rsid w:val="00A26416"/>
    <w:rsid w:val="00A30513"/>
    <w:rsid w:val="00A35E78"/>
    <w:rsid w:val="00A419E4"/>
    <w:rsid w:val="00A52EB7"/>
    <w:rsid w:val="00A60C1F"/>
    <w:rsid w:val="00A74F80"/>
    <w:rsid w:val="00A82125"/>
    <w:rsid w:val="00AC0380"/>
    <w:rsid w:val="00AC4EC1"/>
    <w:rsid w:val="00AE0BAC"/>
    <w:rsid w:val="00AE6F69"/>
    <w:rsid w:val="00AF42D9"/>
    <w:rsid w:val="00B4310D"/>
    <w:rsid w:val="00B62CA2"/>
    <w:rsid w:val="00B67281"/>
    <w:rsid w:val="00B76038"/>
    <w:rsid w:val="00B96430"/>
    <w:rsid w:val="00BA43A5"/>
    <w:rsid w:val="00BA4703"/>
    <w:rsid w:val="00BD4104"/>
    <w:rsid w:val="00BD5BB3"/>
    <w:rsid w:val="00BD7718"/>
    <w:rsid w:val="00BE4079"/>
    <w:rsid w:val="00BE71AE"/>
    <w:rsid w:val="00BE7A00"/>
    <w:rsid w:val="00BF6563"/>
    <w:rsid w:val="00BF6DDA"/>
    <w:rsid w:val="00C11350"/>
    <w:rsid w:val="00C12E91"/>
    <w:rsid w:val="00C23750"/>
    <w:rsid w:val="00C23A0A"/>
    <w:rsid w:val="00C32C25"/>
    <w:rsid w:val="00C8628E"/>
    <w:rsid w:val="00CB2155"/>
    <w:rsid w:val="00CE3EDC"/>
    <w:rsid w:val="00CE4341"/>
    <w:rsid w:val="00CF2372"/>
    <w:rsid w:val="00CF7FFA"/>
    <w:rsid w:val="00D10774"/>
    <w:rsid w:val="00D12841"/>
    <w:rsid w:val="00D24B05"/>
    <w:rsid w:val="00D32D05"/>
    <w:rsid w:val="00D45500"/>
    <w:rsid w:val="00D60105"/>
    <w:rsid w:val="00D6396F"/>
    <w:rsid w:val="00D67E7C"/>
    <w:rsid w:val="00D75844"/>
    <w:rsid w:val="00D77A51"/>
    <w:rsid w:val="00D85A81"/>
    <w:rsid w:val="00DA3AE8"/>
    <w:rsid w:val="00DA3B20"/>
    <w:rsid w:val="00DC0C2D"/>
    <w:rsid w:val="00DC38B5"/>
    <w:rsid w:val="00DD0AD1"/>
    <w:rsid w:val="00DD1B8B"/>
    <w:rsid w:val="00DD1F17"/>
    <w:rsid w:val="00DE2E75"/>
    <w:rsid w:val="00DF2B50"/>
    <w:rsid w:val="00E142B0"/>
    <w:rsid w:val="00E16550"/>
    <w:rsid w:val="00E26C80"/>
    <w:rsid w:val="00E36105"/>
    <w:rsid w:val="00E44520"/>
    <w:rsid w:val="00E56AAD"/>
    <w:rsid w:val="00E60B12"/>
    <w:rsid w:val="00E655EF"/>
    <w:rsid w:val="00E80FB3"/>
    <w:rsid w:val="00E82485"/>
    <w:rsid w:val="00E942B9"/>
    <w:rsid w:val="00E963C8"/>
    <w:rsid w:val="00EB3C83"/>
    <w:rsid w:val="00ED1E34"/>
    <w:rsid w:val="00ED7952"/>
    <w:rsid w:val="00EF5F81"/>
    <w:rsid w:val="00F128EA"/>
    <w:rsid w:val="00F251F0"/>
    <w:rsid w:val="00F33695"/>
    <w:rsid w:val="00F5749F"/>
    <w:rsid w:val="00F7443D"/>
    <w:rsid w:val="00F76986"/>
    <w:rsid w:val="00F76BC2"/>
    <w:rsid w:val="00FA66E4"/>
    <w:rsid w:val="00FB2500"/>
    <w:rsid w:val="00FC1299"/>
    <w:rsid w:val="00FC2CAD"/>
    <w:rsid w:val="00FD266E"/>
    <w:rsid w:val="00FE4C98"/>
    <w:rsid w:val="00FE76CA"/>
    <w:rsid w:val="00FF1C81"/>
    <w:rsid w:val="00FF6EB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DBA4"/>
  <w15:chartTrackingRefBased/>
  <w15:docId w15:val="{8018284D-32C5-4AFB-9CB5-C65459D9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6CF4"/>
    <w:pPr>
      <w:keepNext/>
      <w:keepLines/>
      <w:spacing w:before="160" w:after="80"/>
      <w:outlineLvl w:val="1"/>
    </w:pPr>
    <w:rPr>
      <w:rFonts w:asciiTheme="majorHAnsi" w:eastAsiaTheme="majorEastAsia" w:hAnsiTheme="majorHAnsi" w:cstheme="majorBidi"/>
      <w:color w:val="AD2B50"/>
      <w:sz w:val="32"/>
      <w:szCs w:val="32"/>
    </w:rPr>
  </w:style>
  <w:style w:type="paragraph" w:styleId="Heading3">
    <w:name w:val="heading 3"/>
    <w:basedOn w:val="Normal"/>
    <w:next w:val="Normal"/>
    <w:link w:val="Heading3Char"/>
    <w:uiPriority w:val="9"/>
    <w:semiHidden/>
    <w:unhideWhenUsed/>
    <w:qFormat/>
    <w:rsid w:val="00964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6CF4"/>
    <w:rPr>
      <w:rFonts w:asciiTheme="majorHAnsi" w:eastAsiaTheme="majorEastAsia" w:hAnsiTheme="majorHAnsi" w:cstheme="majorBidi"/>
      <w:color w:val="AD2B50"/>
      <w:sz w:val="32"/>
      <w:szCs w:val="32"/>
    </w:rPr>
  </w:style>
  <w:style w:type="character" w:customStyle="1" w:styleId="Heading3Char">
    <w:name w:val="Heading 3 Char"/>
    <w:basedOn w:val="DefaultParagraphFont"/>
    <w:link w:val="Heading3"/>
    <w:uiPriority w:val="9"/>
    <w:semiHidden/>
    <w:rsid w:val="00964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2D6"/>
    <w:rPr>
      <w:rFonts w:eastAsiaTheme="majorEastAsia" w:cstheme="majorBidi"/>
      <w:color w:val="272727" w:themeColor="text1" w:themeTint="D8"/>
    </w:rPr>
  </w:style>
  <w:style w:type="paragraph" w:styleId="Title">
    <w:name w:val="Title"/>
    <w:basedOn w:val="Normal"/>
    <w:next w:val="Normal"/>
    <w:link w:val="TitleChar"/>
    <w:uiPriority w:val="10"/>
    <w:qFormat/>
    <w:rsid w:val="00964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2D6"/>
    <w:pPr>
      <w:spacing w:before="160"/>
      <w:jc w:val="center"/>
    </w:pPr>
    <w:rPr>
      <w:i/>
      <w:iCs/>
      <w:color w:val="404040" w:themeColor="text1" w:themeTint="BF"/>
    </w:rPr>
  </w:style>
  <w:style w:type="character" w:customStyle="1" w:styleId="QuoteChar">
    <w:name w:val="Quote Char"/>
    <w:basedOn w:val="DefaultParagraphFont"/>
    <w:link w:val="Quote"/>
    <w:uiPriority w:val="29"/>
    <w:rsid w:val="009642D6"/>
    <w:rPr>
      <w:i/>
      <w:iCs/>
      <w:color w:val="404040" w:themeColor="text1" w:themeTint="BF"/>
    </w:rPr>
  </w:style>
  <w:style w:type="paragraph" w:styleId="ListParagraph">
    <w:name w:val="List Paragraph"/>
    <w:basedOn w:val="Normal"/>
    <w:uiPriority w:val="34"/>
    <w:qFormat/>
    <w:rsid w:val="009642D6"/>
    <w:pPr>
      <w:ind w:left="720"/>
      <w:contextualSpacing/>
    </w:pPr>
  </w:style>
  <w:style w:type="character" w:styleId="IntenseEmphasis">
    <w:name w:val="Intense Emphasis"/>
    <w:basedOn w:val="DefaultParagraphFont"/>
    <w:uiPriority w:val="21"/>
    <w:qFormat/>
    <w:rsid w:val="009642D6"/>
    <w:rPr>
      <w:i/>
      <w:iCs/>
      <w:color w:val="0F4761" w:themeColor="accent1" w:themeShade="BF"/>
    </w:rPr>
  </w:style>
  <w:style w:type="paragraph" w:styleId="IntenseQuote">
    <w:name w:val="Intense Quote"/>
    <w:basedOn w:val="Normal"/>
    <w:next w:val="Normal"/>
    <w:link w:val="IntenseQuoteChar"/>
    <w:uiPriority w:val="30"/>
    <w:qFormat/>
    <w:rsid w:val="00964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2D6"/>
    <w:rPr>
      <w:i/>
      <w:iCs/>
      <w:color w:val="0F4761" w:themeColor="accent1" w:themeShade="BF"/>
    </w:rPr>
  </w:style>
  <w:style w:type="character" w:styleId="IntenseReference">
    <w:name w:val="Intense Reference"/>
    <w:basedOn w:val="DefaultParagraphFont"/>
    <w:uiPriority w:val="32"/>
    <w:qFormat/>
    <w:rsid w:val="009642D6"/>
    <w:rPr>
      <w:b/>
      <w:bCs/>
      <w:smallCaps/>
      <w:color w:val="0F4761" w:themeColor="accent1" w:themeShade="BF"/>
      <w:spacing w:val="5"/>
    </w:rPr>
  </w:style>
  <w:style w:type="table" w:styleId="TableGrid">
    <w:name w:val="Table Grid"/>
    <w:basedOn w:val="TableNormal"/>
    <w:uiPriority w:val="39"/>
    <w:rsid w:val="00C2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D12841"/>
    <w:rPr>
      <w:smallCaps/>
      <w:color w:val="5A5A5A" w:themeColor="text1" w:themeTint="A5"/>
    </w:rPr>
  </w:style>
  <w:style w:type="character" w:styleId="CommentReference">
    <w:name w:val="annotation reference"/>
    <w:basedOn w:val="DefaultParagraphFont"/>
    <w:uiPriority w:val="99"/>
    <w:semiHidden/>
    <w:unhideWhenUsed/>
    <w:rsid w:val="008714B9"/>
    <w:rPr>
      <w:sz w:val="16"/>
      <w:szCs w:val="16"/>
    </w:rPr>
  </w:style>
  <w:style w:type="paragraph" w:styleId="CommentText">
    <w:name w:val="annotation text"/>
    <w:basedOn w:val="Normal"/>
    <w:link w:val="CommentTextChar"/>
    <w:uiPriority w:val="99"/>
    <w:unhideWhenUsed/>
    <w:rsid w:val="008714B9"/>
    <w:pPr>
      <w:spacing w:line="240" w:lineRule="auto"/>
    </w:pPr>
    <w:rPr>
      <w:sz w:val="20"/>
      <w:szCs w:val="20"/>
    </w:rPr>
  </w:style>
  <w:style w:type="character" w:customStyle="1" w:styleId="CommentTextChar">
    <w:name w:val="Comment Text Char"/>
    <w:basedOn w:val="DefaultParagraphFont"/>
    <w:link w:val="CommentText"/>
    <w:uiPriority w:val="99"/>
    <w:rsid w:val="008714B9"/>
    <w:rPr>
      <w:sz w:val="20"/>
      <w:szCs w:val="20"/>
    </w:rPr>
  </w:style>
  <w:style w:type="paragraph" w:styleId="CommentSubject">
    <w:name w:val="annotation subject"/>
    <w:basedOn w:val="CommentText"/>
    <w:next w:val="CommentText"/>
    <w:link w:val="CommentSubjectChar"/>
    <w:uiPriority w:val="99"/>
    <w:semiHidden/>
    <w:unhideWhenUsed/>
    <w:rsid w:val="008714B9"/>
    <w:rPr>
      <w:b/>
      <w:bCs/>
    </w:rPr>
  </w:style>
  <w:style w:type="character" w:customStyle="1" w:styleId="CommentSubjectChar">
    <w:name w:val="Comment Subject Char"/>
    <w:basedOn w:val="CommentTextChar"/>
    <w:link w:val="CommentSubject"/>
    <w:uiPriority w:val="99"/>
    <w:semiHidden/>
    <w:rsid w:val="008714B9"/>
    <w:rPr>
      <w:b/>
      <w:bCs/>
      <w:sz w:val="20"/>
      <w:szCs w:val="20"/>
    </w:rPr>
  </w:style>
  <w:style w:type="character" w:styleId="Hyperlink">
    <w:name w:val="Hyperlink"/>
    <w:basedOn w:val="DefaultParagraphFont"/>
    <w:uiPriority w:val="99"/>
    <w:unhideWhenUsed/>
    <w:rsid w:val="00EF5F81"/>
    <w:rPr>
      <w:color w:val="467886" w:themeColor="hyperlink"/>
      <w:u w:val="single"/>
    </w:rPr>
  </w:style>
  <w:style w:type="character" w:styleId="UnresolvedMention">
    <w:name w:val="Unresolved Mention"/>
    <w:basedOn w:val="DefaultParagraphFont"/>
    <w:uiPriority w:val="99"/>
    <w:semiHidden/>
    <w:unhideWhenUsed/>
    <w:rsid w:val="00EF5F81"/>
    <w:rPr>
      <w:color w:val="605E5C"/>
      <w:shd w:val="clear" w:color="auto" w:fill="E1DFDD"/>
    </w:rPr>
  </w:style>
  <w:style w:type="paragraph" w:styleId="Revision">
    <w:name w:val="Revision"/>
    <w:hidden/>
    <w:uiPriority w:val="99"/>
    <w:semiHidden/>
    <w:rsid w:val="00FA66E4"/>
    <w:pPr>
      <w:spacing w:after="0" w:line="240" w:lineRule="auto"/>
    </w:pPr>
  </w:style>
  <w:style w:type="paragraph" w:styleId="Caption">
    <w:name w:val="caption"/>
    <w:basedOn w:val="Normal"/>
    <w:next w:val="Normal"/>
    <w:uiPriority w:val="35"/>
    <w:unhideWhenUsed/>
    <w:qFormat/>
    <w:rsid w:val="00FD266E"/>
    <w:pPr>
      <w:spacing w:after="200" w:line="240" w:lineRule="auto"/>
    </w:pPr>
    <w:rPr>
      <w:i/>
      <w:iCs/>
      <w:color w:val="0E2841" w:themeColor="text2"/>
      <w:sz w:val="18"/>
      <w:szCs w:val="18"/>
    </w:rPr>
  </w:style>
  <w:style w:type="character" w:styleId="Mention">
    <w:name w:val="Mention"/>
    <w:basedOn w:val="DefaultParagraphFont"/>
    <w:uiPriority w:val="99"/>
    <w:unhideWhenUsed/>
    <w:rsid w:val="00BD7718"/>
    <w:rPr>
      <w:color w:val="2B579A"/>
      <w:shd w:val="clear" w:color="auto" w:fill="E1DFDD"/>
    </w:rPr>
  </w:style>
  <w:style w:type="character" w:customStyle="1" w:styleId="normaltextrun">
    <w:name w:val="normaltextrun"/>
    <w:basedOn w:val="DefaultParagraphFont"/>
    <w:rsid w:val="00BD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act/public/2003/0048/latest/DLM204334.html" TargetMode="External"/><Relationship Id="rId5" Type="http://schemas.openxmlformats.org/officeDocument/2006/relationships/styles" Target="styles.xml"/><Relationship Id="rId10" Type="http://schemas.openxmlformats.org/officeDocument/2006/relationships/hyperlink" Target="https://www.mscouncil.org.nz/assets_mlsb/Uploads/2025-sl7382-MSC-AT-Fees-Gazette-notice.pdf" TargetMode="External"/><Relationship Id="rId4" Type="http://schemas.openxmlformats.org/officeDocument/2006/relationships/numbering" Target="numbering.xml"/><Relationship Id="rId9" Type="http://schemas.openxmlformats.org/officeDocument/2006/relationships/hyperlink" Target="https://www.mscouncil.org.nz/news/oct-2025-consultation-proposed-at-fee-changes-20262027"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medscinz-my.sharepoint.com/personal/devon_davies_medsci_co_nz/Documents/Documents/Consultations/MSC%20Fees%202025/20251201%20AT%20survey%20respon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BE1E8"/>
              </a:solidFill>
              <a:ln>
                <a:solidFill>
                  <a:srgbClr val="FBE1E8"/>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662-4396-A967-515B2EF7A919}"/>
              </c:ext>
            </c:extLst>
          </c:dPt>
          <c:dPt>
            <c:idx val="1"/>
            <c:bubble3D val="0"/>
            <c:spPr>
              <a:solidFill>
                <a:srgbClr val="808285"/>
              </a:solidFill>
              <a:ln>
                <a:solidFill>
                  <a:srgbClr val="808285"/>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662-4396-A967-515B2EF7A919}"/>
              </c:ext>
            </c:extLst>
          </c:dPt>
          <c:dPt>
            <c:idx val="2"/>
            <c:bubble3D val="0"/>
            <c:spPr>
              <a:solidFill>
                <a:srgbClr val="AD2B50"/>
              </a:solidFill>
              <a:ln>
                <a:solidFill>
                  <a:srgbClr val="AD2B50"/>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662-4396-A967-515B2EF7A91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AD2B50"/>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662-4396-A967-515B2EF7A91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80828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662-4396-A967-515B2EF7A91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AD2B50"/>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662-4396-A967-515B2EF7A91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Summary!$B$3:$B$5</c:f>
              <c:strCache>
                <c:ptCount val="3"/>
                <c:pt idx="0">
                  <c:v>Agree</c:v>
                </c:pt>
                <c:pt idx="1">
                  <c:v>Neither agree nor disagree</c:v>
                </c:pt>
                <c:pt idx="2">
                  <c:v>Disagree</c:v>
                </c:pt>
              </c:strCache>
            </c:strRef>
          </c:cat>
          <c:val>
            <c:numRef>
              <c:f>Summary!$C$3:$C$5</c:f>
              <c:numCache>
                <c:formatCode>General</c:formatCode>
                <c:ptCount val="3"/>
                <c:pt idx="0">
                  <c:v>8</c:v>
                </c:pt>
                <c:pt idx="1">
                  <c:v>5</c:v>
                </c:pt>
                <c:pt idx="2">
                  <c:v>28</c:v>
                </c:pt>
              </c:numCache>
            </c:numRef>
          </c:val>
          <c:extLst>
            <c:ext xmlns:c16="http://schemas.microsoft.com/office/drawing/2014/chart" uri="{C3380CC4-5D6E-409C-BE32-E72D297353CC}">
              <c16:uniqueId val="{00000006-6662-4396-A967-515B2EF7A919}"/>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ea260-342c-47b5-8995-a98a7c1eb916" xsi:nil="true"/>
    <lcf76f155ced4ddcb4097134ff3c332f xmlns="ce30c4ad-934f-489d-aee4-754d1d239742">
      <Terms xmlns="http://schemas.microsoft.com/office/infopath/2007/PartnerControls"/>
    </lcf76f155ced4ddcb4097134ff3c332f>
    <Organisation xmlns="ce30c4ad-934f-489d-aee4-754d1d2397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8A9FA9F9CE241B44267D119A72ED3" ma:contentTypeVersion="20" ma:contentTypeDescription="Create a new document." ma:contentTypeScope="" ma:versionID="796f7bbdd6c81236d2e7b2756d3a82e8">
  <xsd:schema xmlns:xsd="http://www.w3.org/2001/XMLSchema" xmlns:xs="http://www.w3.org/2001/XMLSchema" xmlns:p="http://schemas.microsoft.com/office/2006/metadata/properties" xmlns:ns2="ce30c4ad-934f-489d-aee4-754d1d239742" xmlns:ns3="ff5ea260-342c-47b5-8995-a98a7c1eb916" targetNamespace="http://schemas.microsoft.com/office/2006/metadata/properties" ma:root="true" ma:fieldsID="c832eeb539d06cd25ea2eef7427b4533" ns2:_="" ns3:_="">
    <xsd:import namespace="ce30c4ad-934f-489d-aee4-754d1d239742"/>
    <xsd:import namespace="ff5ea260-342c-47b5-8995-a98a7c1eb916"/>
    <xsd:element name="properties">
      <xsd:complexType>
        <xsd:sequence>
          <xsd:element name="documentManagement">
            <xsd:complexType>
              <xsd:all>
                <xsd:element ref="ns2:Organisa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0c4ad-934f-489d-aee4-754d1d239742" elementFormDefault="qualified">
    <xsd:import namespace="http://schemas.microsoft.com/office/2006/documentManagement/types"/>
    <xsd:import namespace="http://schemas.microsoft.com/office/infopath/2007/PartnerControls"/>
    <xsd:element name="Organisation" ma:index="3" nillable="true" ma:displayName="Organisation" ma:format="Dropdown" ma:indexed="true" ma:internalName="Organisation">
      <xsd:simpleType>
        <xsd:restriction base="dms:Choice">
          <xsd:enumeration value="MSS"/>
          <xsd:enumeration value="MRTB"/>
          <xsd:enumeration value="MSC"/>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8d4bf3-93c0-46a3-8af0-cc39d7961f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ea260-342c-47b5-8995-a98a7c1eb91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f117103-454b-43e3-a5d4-a02aa99bcc1a}" ma:internalName="TaxCatchAll" ma:readOnly="false" ma:showField="CatchAllData" ma:web="ff5ea260-342c-47b5-8995-a98a7c1eb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143AA-F144-4934-8E0A-724988BD270C}">
  <ds:schemaRefs>
    <ds:schemaRef ds:uri="http://schemas.microsoft.com/office/2006/metadata/properties"/>
    <ds:schemaRef ds:uri="http://schemas.microsoft.com/office/infopath/2007/PartnerControls"/>
    <ds:schemaRef ds:uri="ff5ea260-342c-47b5-8995-a98a7c1eb916"/>
    <ds:schemaRef ds:uri="ce30c4ad-934f-489d-aee4-754d1d239742"/>
  </ds:schemaRefs>
</ds:datastoreItem>
</file>

<file path=customXml/itemProps2.xml><?xml version="1.0" encoding="utf-8"?>
<ds:datastoreItem xmlns:ds="http://schemas.openxmlformats.org/officeDocument/2006/customXml" ds:itemID="{FD819340-CC5B-4111-A58C-E36A5BF6FC76}">
  <ds:schemaRefs>
    <ds:schemaRef ds:uri="http://schemas.microsoft.com/sharepoint/v3/contenttype/forms"/>
  </ds:schemaRefs>
</ds:datastoreItem>
</file>

<file path=customXml/itemProps3.xml><?xml version="1.0" encoding="utf-8"?>
<ds:datastoreItem xmlns:ds="http://schemas.openxmlformats.org/officeDocument/2006/customXml" ds:itemID="{77E13FDE-A02B-401A-A0ED-2B2696EF0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0c4ad-934f-489d-aee4-754d1d239742"/>
    <ds:schemaRef ds:uri="ff5ea260-342c-47b5-8995-a98a7c1eb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Links>
    <vt:vector size="18" baseType="variant">
      <vt:variant>
        <vt:i4>8323129</vt:i4>
      </vt:variant>
      <vt:variant>
        <vt:i4>9</vt:i4>
      </vt:variant>
      <vt:variant>
        <vt:i4>0</vt:i4>
      </vt:variant>
      <vt:variant>
        <vt:i4>5</vt:i4>
      </vt:variant>
      <vt:variant>
        <vt:lpwstr>https://www.legislation.govt.nz/act/public/2003/0048/latest/DLM204334.html</vt:lpwstr>
      </vt:variant>
      <vt:variant>
        <vt:lpwstr/>
      </vt:variant>
      <vt:variant>
        <vt:i4>4980835</vt:i4>
      </vt:variant>
      <vt:variant>
        <vt:i4>6</vt:i4>
      </vt:variant>
      <vt:variant>
        <vt:i4>0</vt:i4>
      </vt:variant>
      <vt:variant>
        <vt:i4>5</vt:i4>
      </vt:variant>
      <vt:variant>
        <vt:lpwstr>https://www.mscouncil.org.nz/assets_mlsb/Uploads/2025-sl7382-MSC-AT-Fees-Gazette-notice.pdf</vt:lpwstr>
      </vt:variant>
      <vt:variant>
        <vt:lpwstr/>
      </vt:variant>
      <vt:variant>
        <vt:i4>4325394</vt:i4>
      </vt:variant>
      <vt:variant>
        <vt:i4>0</vt:i4>
      </vt:variant>
      <vt:variant>
        <vt:i4>0</vt:i4>
      </vt:variant>
      <vt:variant>
        <vt:i4>5</vt:i4>
      </vt:variant>
      <vt:variant>
        <vt:lpwstr>https://www.mscouncil.org.nz/news/oct-2025-consultation-proposed-at-fee-changes-20262027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Davies - Staff</dc:creator>
  <cp:keywords/>
  <dc:description/>
  <cp:lastModifiedBy>Diane Hughes - Staff</cp:lastModifiedBy>
  <cp:revision>3</cp:revision>
  <cp:lastPrinted>2026-01-08T01:19:00Z</cp:lastPrinted>
  <dcterms:created xsi:type="dcterms:W3CDTF">2026-01-08T01:15:00Z</dcterms:created>
  <dcterms:modified xsi:type="dcterms:W3CDTF">2026-01-08T01:20:00Z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0x0101005BA8A9FA9F9CE241B44267D119A72ED3</vt:lpwstr>
  </property>
  <property fmtid="{D5CDD505-2E9C-101B-9397-08002B2CF9AE}" pid="3" name="MediaServiceImageTags">
    <vt:lpwstr/>
  </property>
</Properties>
</file>